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ook w:val="01E0"/>
      </w:tblPr>
      <w:tblGrid>
        <w:gridCol w:w="2835"/>
        <w:gridCol w:w="709"/>
        <w:gridCol w:w="5812"/>
      </w:tblGrid>
      <w:tr w:rsidR="001C4D5C" w:rsidRPr="001C4D5C" w:rsidTr="00044945">
        <w:trPr>
          <w:trHeight w:val="955"/>
        </w:trPr>
        <w:tc>
          <w:tcPr>
            <w:tcW w:w="2835" w:type="dxa"/>
          </w:tcPr>
          <w:p w:rsidR="001C4D5C" w:rsidRPr="001C4D5C" w:rsidRDefault="001C4D5C" w:rsidP="001C4D5C">
            <w:pPr>
              <w:ind w:right="87"/>
              <w:jc w:val="center"/>
              <w:rPr>
                <w:b/>
                <w:sz w:val="26"/>
                <w:szCs w:val="26"/>
                <w:lang w:val="am-ET"/>
              </w:rPr>
            </w:pPr>
            <w:r w:rsidRPr="001C4D5C">
              <w:rPr>
                <w:b/>
                <w:sz w:val="26"/>
                <w:szCs w:val="26"/>
                <w:lang w:val="am-ET"/>
              </w:rPr>
              <w:t>BỘ TÀI CHÍNH</w:t>
            </w:r>
          </w:p>
          <w:p w:rsidR="001C4D5C" w:rsidRPr="001C4D5C" w:rsidRDefault="001C4D5C" w:rsidP="001C4D5C">
            <w:pPr>
              <w:ind w:right="87"/>
            </w:pPr>
            <w:r w:rsidRPr="001C4D5C">
              <w:rPr>
                <w:noProof/>
              </w:rPr>
              <w:pict>
                <v:line id="_x0000_s1028" style="position:absolute;z-index:251658240" from="45.85pt,5pt" to="83.85pt,5pt"/>
              </w:pict>
            </w:r>
          </w:p>
        </w:tc>
        <w:tc>
          <w:tcPr>
            <w:tcW w:w="709" w:type="dxa"/>
          </w:tcPr>
          <w:p w:rsidR="001C4D5C" w:rsidRPr="001C4D5C" w:rsidRDefault="001C4D5C" w:rsidP="001C4D5C">
            <w:pPr>
              <w:ind w:right="87"/>
              <w:jc w:val="center"/>
              <w:rPr>
                <w:lang w:val="am-ET"/>
              </w:rPr>
            </w:pPr>
          </w:p>
          <w:p w:rsidR="001C4D5C" w:rsidRPr="001C4D5C" w:rsidRDefault="001C4D5C" w:rsidP="001C4D5C">
            <w:pPr>
              <w:ind w:right="87"/>
              <w:jc w:val="center"/>
              <w:rPr>
                <w:lang w:val="am-ET"/>
              </w:rPr>
            </w:pPr>
          </w:p>
          <w:p w:rsidR="001C4D5C" w:rsidRPr="001C4D5C" w:rsidRDefault="001C4D5C" w:rsidP="001C4D5C">
            <w:pPr>
              <w:ind w:right="87"/>
              <w:jc w:val="center"/>
              <w:rPr>
                <w:lang w:val="am-ET"/>
              </w:rPr>
            </w:pPr>
          </w:p>
        </w:tc>
        <w:tc>
          <w:tcPr>
            <w:tcW w:w="5812" w:type="dxa"/>
          </w:tcPr>
          <w:p w:rsidR="001C4D5C" w:rsidRPr="001C4D5C" w:rsidRDefault="001C4D5C" w:rsidP="001C4D5C">
            <w:pPr>
              <w:ind w:right="87"/>
              <w:jc w:val="center"/>
              <w:rPr>
                <w:b/>
                <w:sz w:val="26"/>
                <w:szCs w:val="26"/>
                <w:lang w:val="am-ET"/>
              </w:rPr>
            </w:pPr>
            <w:r w:rsidRPr="001C4D5C">
              <w:rPr>
                <w:b/>
                <w:sz w:val="26"/>
                <w:szCs w:val="26"/>
                <w:lang w:val="am-ET"/>
              </w:rPr>
              <w:t>CỘNG HOÀ XÃ HỘI CHỦ NGHĨA VIỆT NAM</w:t>
            </w:r>
          </w:p>
          <w:p w:rsidR="001C4D5C" w:rsidRPr="001C4D5C" w:rsidRDefault="001C4D5C" w:rsidP="001C4D5C">
            <w:pPr>
              <w:ind w:right="87"/>
              <w:jc w:val="center"/>
              <w:rPr>
                <w:b/>
                <w:sz w:val="28"/>
                <w:szCs w:val="28"/>
                <w:lang w:val="am-ET"/>
              </w:rPr>
            </w:pPr>
            <w:r w:rsidRPr="001C4D5C">
              <w:rPr>
                <w:b/>
                <w:sz w:val="28"/>
                <w:szCs w:val="28"/>
                <w:lang w:val="am-ET"/>
              </w:rPr>
              <w:t xml:space="preserve">Độc lập </w:t>
            </w:r>
            <w:r w:rsidRPr="001C4D5C">
              <w:rPr>
                <w:sz w:val="28"/>
                <w:szCs w:val="28"/>
                <w:lang w:val="am-ET"/>
              </w:rPr>
              <w:t xml:space="preserve">- </w:t>
            </w:r>
            <w:r w:rsidRPr="001C4D5C">
              <w:rPr>
                <w:b/>
                <w:sz w:val="28"/>
                <w:szCs w:val="28"/>
                <w:lang w:val="am-ET"/>
              </w:rPr>
              <w:t>Tự do</w:t>
            </w:r>
            <w:r w:rsidRPr="001C4D5C">
              <w:rPr>
                <w:sz w:val="28"/>
                <w:szCs w:val="28"/>
                <w:lang w:val="am-ET"/>
              </w:rPr>
              <w:t xml:space="preserve"> -</w:t>
            </w:r>
            <w:r w:rsidRPr="001C4D5C">
              <w:rPr>
                <w:b/>
                <w:sz w:val="28"/>
                <w:szCs w:val="28"/>
                <w:lang w:val="am-ET"/>
              </w:rPr>
              <w:t xml:space="preserve"> Hạnh phúc</w:t>
            </w:r>
          </w:p>
          <w:p w:rsidR="001C4D5C" w:rsidRPr="001C4D5C" w:rsidRDefault="001C4D5C" w:rsidP="001C4D5C">
            <w:pPr>
              <w:ind w:right="87"/>
              <w:jc w:val="center"/>
              <w:rPr>
                <w:b/>
              </w:rPr>
            </w:pPr>
            <w:r w:rsidRPr="001C4D5C">
              <w:rPr>
                <w:noProof/>
              </w:rPr>
              <w:pict>
                <v:line id="_x0000_s1029" style="position:absolute;left:0;text-align:left;z-index:251658240" from="56.85pt,5.35pt" to="220.95pt,5.35pt"/>
              </w:pict>
            </w:r>
          </w:p>
          <w:p w:rsidR="001C4D5C" w:rsidRPr="001C4D5C" w:rsidRDefault="001C4D5C" w:rsidP="001C4D5C">
            <w:pPr>
              <w:ind w:right="87"/>
              <w:jc w:val="center"/>
              <w:rPr>
                <w:i/>
                <w:sz w:val="28"/>
                <w:szCs w:val="28"/>
              </w:rPr>
            </w:pPr>
            <w:r w:rsidRPr="001C4D5C">
              <w:rPr>
                <w:i/>
                <w:sz w:val="28"/>
                <w:szCs w:val="28"/>
              </w:rPr>
              <w:t>Hà Nội, ngày 13 tháng 7 năm 2023</w:t>
            </w:r>
          </w:p>
        </w:tc>
      </w:tr>
    </w:tbl>
    <w:p w:rsidR="00335E09" w:rsidRDefault="00335E09" w:rsidP="00BB7A13">
      <w:pPr>
        <w:spacing w:before="60" w:after="60"/>
        <w:jc w:val="center"/>
        <w:rPr>
          <w:b/>
          <w:sz w:val="28"/>
          <w:szCs w:val="28"/>
        </w:rPr>
      </w:pPr>
    </w:p>
    <w:p w:rsidR="00335E09" w:rsidRDefault="00335E09" w:rsidP="00BB7A13">
      <w:pPr>
        <w:spacing w:before="60" w:after="60"/>
        <w:jc w:val="center"/>
        <w:rPr>
          <w:b/>
          <w:sz w:val="28"/>
          <w:szCs w:val="28"/>
        </w:rPr>
      </w:pPr>
    </w:p>
    <w:p w:rsidR="0006495D" w:rsidRDefault="00B543D1" w:rsidP="00BB7A13">
      <w:pPr>
        <w:spacing w:before="60" w:after="60"/>
        <w:jc w:val="center"/>
        <w:rPr>
          <w:b/>
          <w:sz w:val="28"/>
          <w:szCs w:val="28"/>
        </w:rPr>
      </w:pPr>
      <w:r>
        <w:rPr>
          <w:b/>
          <w:sz w:val="28"/>
          <w:szCs w:val="28"/>
        </w:rPr>
        <w:t>BÁO CÁO</w:t>
      </w:r>
      <w:r w:rsidR="00BB7A13">
        <w:rPr>
          <w:b/>
          <w:sz w:val="28"/>
          <w:szCs w:val="28"/>
        </w:rPr>
        <w:t xml:space="preserve"> </w:t>
      </w:r>
      <w:r w:rsidR="0006495D">
        <w:rPr>
          <w:b/>
          <w:sz w:val="28"/>
          <w:szCs w:val="28"/>
        </w:rPr>
        <w:t>CHUYÊN ĐỀ</w:t>
      </w:r>
    </w:p>
    <w:p w:rsidR="00B543D1" w:rsidRDefault="0006495D" w:rsidP="00BB7A13">
      <w:pPr>
        <w:spacing w:before="60" w:after="60"/>
        <w:jc w:val="center"/>
        <w:rPr>
          <w:b/>
          <w:sz w:val="28"/>
          <w:szCs w:val="28"/>
          <w:lang w:val="nl-NL"/>
        </w:rPr>
      </w:pPr>
      <w:r>
        <w:rPr>
          <w:b/>
          <w:sz w:val="28"/>
          <w:szCs w:val="28"/>
        </w:rPr>
        <w:t xml:space="preserve">Công tác điều hành Thị trường Chứng khoán 6 tháng đầu năm, </w:t>
      </w:r>
      <w:r>
        <w:rPr>
          <w:b/>
          <w:sz w:val="28"/>
          <w:szCs w:val="28"/>
          <w:lang w:val="nl-NL"/>
        </w:rPr>
        <w:t>giải pháp điều hành TTCK 6 tháng cuối năm 2023</w:t>
      </w:r>
    </w:p>
    <w:p w:rsidR="00335E09" w:rsidRPr="00335E09" w:rsidRDefault="00335E09" w:rsidP="00BB7A13">
      <w:pPr>
        <w:spacing w:before="60" w:after="60"/>
        <w:jc w:val="center"/>
        <w:rPr>
          <w:i/>
          <w:sz w:val="26"/>
          <w:szCs w:val="26"/>
          <w:lang w:val="nl-NL"/>
        </w:rPr>
      </w:pPr>
      <w:r w:rsidRPr="00335E09">
        <w:rPr>
          <w:i/>
          <w:sz w:val="26"/>
          <w:szCs w:val="26"/>
          <w:lang w:val="nl-NL"/>
        </w:rPr>
        <w:t>(Tài liệu phục vụ Hội nghị trực tuyến đánh giá công tác thực hiện nhiệm vụ tài chính - NSNN 6 tháng đầu năm, triển khai nhiệm vụ 6 tháng cuối năm 2023)</w:t>
      </w:r>
    </w:p>
    <w:p w:rsidR="00335E09" w:rsidRDefault="001C4D5C" w:rsidP="00BB7A13">
      <w:pPr>
        <w:spacing w:before="60" w:after="60"/>
        <w:jc w:val="center"/>
        <w:rPr>
          <w:b/>
          <w:sz w:val="28"/>
          <w:szCs w:val="28"/>
          <w:lang w:val="nl-NL"/>
        </w:rPr>
      </w:pPr>
      <w:r>
        <w:rPr>
          <w:b/>
          <w:noProof/>
          <w:sz w:val="28"/>
          <w:szCs w:val="28"/>
        </w:rPr>
        <w:pict>
          <v:line id="_x0000_s1030" style="position:absolute;left:0;text-align:left;z-index:251659264" from="145.8pt,8.65pt" to="314.8pt,8.65pt"/>
        </w:pict>
      </w:r>
    </w:p>
    <w:p w:rsidR="00335E09" w:rsidRDefault="00335E09" w:rsidP="00BB7A13">
      <w:pPr>
        <w:spacing w:before="60" w:after="60"/>
        <w:jc w:val="center"/>
        <w:rPr>
          <w:b/>
          <w:sz w:val="28"/>
          <w:szCs w:val="28"/>
        </w:rPr>
      </w:pPr>
    </w:p>
    <w:p w:rsidR="00B543D1" w:rsidRDefault="00B543D1" w:rsidP="00EC1F66">
      <w:pPr>
        <w:spacing w:before="120" w:after="120"/>
        <w:ind w:firstLine="720"/>
        <w:jc w:val="both"/>
        <w:rPr>
          <w:b/>
          <w:sz w:val="28"/>
          <w:szCs w:val="28"/>
        </w:rPr>
      </w:pPr>
      <w:r>
        <w:rPr>
          <w:b/>
          <w:sz w:val="28"/>
          <w:szCs w:val="28"/>
        </w:rPr>
        <w:t>I. Tình hình thị trường chứng khoán trong 6 tháng đầu năm 2023</w:t>
      </w:r>
    </w:p>
    <w:p w:rsidR="00B543D1" w:rsidRPr="00B97CA1" w:rsidRDefault="00B543D1" w:rsidP="00EC1F66">
      <w:pPr>
        <w:spacing w:before="120" w:after="120"/>
        <w:ind w:firstLine="720"/>
        <w:jc w:val="both"/>
        <w:rPr>
          <w:rFonts w:ascii="Times New Roman Bold" w:hAnsi="Times New Roman Bold"/>
          <w:b/>
          <w:spacing w:val="4"/>
          <w:sz w:val="28"/>
          <w:szCs w:val="28"/>
        </w:rPr>
      </w:pPr>
      <w:r w:rsidRPr="00B97CA1">
        <w:rPr>
          <w:rFonts w:ascii="Times New Roman Bold" w:hAnsi="Times New Roman Bold"/>
          <w:b/>
          <w:spacing w:val="4"/>
          <w:sz w:val="28"/>
          <w:szCs w:val="28"/>
        </w:rPr>
        <w:t>1. Bối cảnh kinh tế thế giới và Việt Nam tác động đến thị trường chứng khoán</w:t>
      </w:r>
    </w:p>
    <w:p w:rsidR="00B543D1" w:rsidRDefault="00B543D1" w:rsidP="00EC1F66">
      <w:pPr>
        <w:spacing w:before="120" w:after="120"/>
        <w:ind w:firstLine="720"/>
        <w:jc w:val="both"/>
        <w:rPr>
          <w:rFonts w:eastAsia="Arial"/>
          <w:spacing w:val="-4"/>
          <w:sz w:val="28"/>
          <w:szCs w:val="28"/>
          <w:lang w:val="nl-NL"/>
        </w:rPr>
      </w:pPr>
      <w:r>
        <w:rPr>
          <w:sz w:val="28"/>
          <w:szCs w:val="28"/>
        </w:rPr>
        <w:t xml:space="preserve">Trong 6 tháng đầu năm 2023, thị trường chứng khoán (TTCK) Việt Nam đã trải qua nhiều biến động trong bối cảnh kinh tế - chính trị thế giới có nhiều bất ổn. </w:t>
      </w:r>
      <w:r>
        <w:rPr>
          <w:rFonts w:eastAsia="Arial"/>
          <w:sz w:val="28"/>
          <w:szCs w:val="28"/>
          <w:lang w:val="nl-NL"/>
        </w:rPr>
        <w:t>Trên thế giới, lạm phát tăng mạnh ở nhiều nơi trong năm 2022 khiến nhiều nền kinh tế phải thắt chặt tiền tệ với nhịp độ nhanh, mạnh</w:t>
      </w:r>
      <w:r>
        <w:rPr>
          <w:rStyle w:val="FootnoteReference"/>
          <w:rFonts w:eastAsia="Arial"/>
          <w:sz w:val="28"/>
          <w:szCs w:val="28"/>
          <w:lang w:val="nl-NL"/>
        </w:rPr>
        <w:footnoteReference w:id="1"/>
      </w:r>
      <w:r>
        <w:rPr>
          <w:rFonts w:eastAsia="Arial"/>
          <w:sz w:val="28"/>
          <w:szCs w:val="28"/>
          <w:lang w:val="nl-NL"/>
        </w:rPr>
        <w:t>, làm dấy lên lo ngại về rủi ro “suy thoái – lạm phát” ở một số quốc gia. Trước các điều chỉnh chính sách của Mỹ, đ</w:t>
      </w:r>
      <w:r>
        <w:rPr>
          <w:sz w:val="28"/>
          <w:szCs w:val="28"/>
        </w:rPr>
        <w:t xml:space="preserve">ồng USD tăng giá mạnh so với nhiều đồng tiền gây áp lực lên điều hành tỷ giá của nhiều nước, kéo theo các bất ổn về tài chính và nợ gia tăng. Thời gian qua, lạm phát tuy đã hạ nhiệt nhưng vẫn còn ở mức cao, nhu cầu tiêu dùng và các hoạt động kinh tế vì thế tiếp tục gặp khó khăn, sức ép giá cả vẫn còn lớn, ngân hàng trung ương các nước tiếp tục phải duy trì chính sách tiền tệ thắt chặt để đưa lạm phát về mức mục tiêu. </w:t>
      </w:r>
      <w:r>
        <w:rPr>
          <w:rFonts w:eastAsia="Arial"/>
          <w:sz w:val="28"/>
          <w:szCs w:val="28"/>
          <w:lang w:val="nl-NL"/>
        </w:rPr>
        <w:t>Sự sụp đổ liên tiếp của một số ngân hàng tại Mỹ và Thụy Sỹ trong tháng 3 và tháng 5/2023 càng làm giới đầu tư lo ngại về an toàn trên thị trường tài chính. Trong khi đó, tình hình địa chính trị thế giới tiếp tục diễn biến phức tạp, khó lường khi xung đột Nga – Ukraine tiếp tục leo thang. Ngoài ra, việc nền kinh tế Trung Quốc mất đà phục hồi so với Quý I/2023 cũng là một mối lo ngại, đặc biệt trong bối cảnh nền kinh tế này vẫn là động lực chính thúc đẩy tăng trưởng kinh tế toàn cầu</w:t>
      </w:r>
      <w:r>
        <w:rPr>
          <w:rStyle w:val="FootnoteReference"/>
          <w:rFonts w:eastAsia="Arial"/>
          <w:sz w:val="28"/>
          <w:szCs w:val="28"/>
          <w:lang w:val="nl-NL"/>
        </w:rPr>
        <w:footnoteReference w:id="2"/>
      </w:r>
      <w:r>
        <w:rPr>
          <w:rFonts w:eastAsia="Arial"/>
          <w:sz w:val="28"/>
          <w:szCs w:val="28"/>
          <w:lang w:val="nl-NL"/>
        </w:rPr>
        <w:t>.</w:t>
      </w:r>
      <w:r>
        <w:rPr>
          <w:rFonts w:eastAsia="Arial"/>
          <w:spacing w:val="-4"/>
          <w:sz w:val="28"/>
          <w:szCs w:val="28"/>
          <w:lang w:val="nl-NL"/>
        </w:rPr>
        <w:t xml:space="preserve"> Do vậy, triển vọng kinh </w:t>
      </w:r>
      <w:r>
        <w:rPr>
          <w:rFonts w:eastAsia="Arial"/>
          <w:spacing w:val="-4"/>
          <w:sz w:val="28"/>
          <w:szCs w:val="28"/>
          <w:lang w:val="nl-NL"/>
        </w:rPr>
        <w:lastRenderedPageBreak/>
        <w:t xml:space="preserve">tế thế giới được đánh giá còn nhiều khó khăn, </w:t>
      </w:r>
      <w:r>
        <w:rPr>
          <w:rFonts w:eastAsia="Arial"/>
          <w:spacing w:val="-2"/>
          <w:sz w:val="28"/>
          <w:szCs w:val="28"/>
          <w:lang w:val="nl-NL"/>
        </w:rPr>
        <w:t>TTCK trên thế giới theo đó cũng biến động trong bối cảnh tình hình kinh tế - chính trị diễn biến phức tạp.</w:t>
      </w:r>
    </w:p>
    <w:p w:rsidR="00B543D1" w:rsidRDefault="00B543D1" w:rsidP="00EC1F66">
      <w:pPr>
        <w:spacing w:before="120" w:after="120"/>
        <w:ind w:firstLine="720"/>
        <w:jc w:val="both"/>
        <w:rPr>
          <w:rStyle w:val="normaltextrun"/>
          <w:color w:val="000000"/>
        </w:rPr>
      </w:pPr>
      <w:r>
        <w:rPr>
          <w:rStyle w:val="normaltextrun"/>
          <w:color w:val="000000"/>
          <w:sz w:val="28"/>
          <w:szCs w:val="28"/>
        </w:rPr>
        <w:t xml:space="preserve">Trong nước, trước tác động của cầu thế giới giảm, biến động của thị trường ngoại hối, tăng trưởng chậm của các đối tác chính của Việt Nam như Mỹ, EU, Nhật Bản, Hàn Quốc, hoạt động xuất nhập khẩu của Việt Nam bị ảnh hưởng nghiêm trọng. Theo Tổng cục Thống kê, mặc dù Viêt Nam vẫn duy trì thặng dư thương mại trong </w:t>
      </w:r>
      <w:r w:rsidR="00E85ED8">
        <w:rPr>
          <w:rStyle w:val="normaltextrun"/>
          <w:color w:val="000000"/>
          <w:sz w:val="28"/>
          <w:szCs w:val="28"/>
        </w:rPr>
        <w:t>6</w:t>
      </w:r>
      <w:r>
        <w:rPr>
          <w:rStyle w:val="normaltextrun"/>
          <w:color w:val="000000"/>
          <w:sz w:val="28"/>
          <w:szCs w:val="28"/>
        </w:rPr>
        <w:t xml:space="preserve"> tháng đầu năm 2023 nhưng </w:t>
      </w:r>
      <w:r w:rsidR="00787C5D">
        <w:rPr>
          <w:rStyle w:val="normaltextrun"/>
          <w:color w:val="000000"/>
          <w:sz w:val="28"/>
          <w:szCs w:val="28"/>
        </w:rPr>
        <w:t>hoạt động xuất nhập khẩu</w:t>
      </w:r>
      <w:r>
        <w:rPr>
          <w:rStyle w:val="normaltextrun"/>
          <w:color w:val="000000"/>
          <w:sz w:val="28"/>
          <w:szCs w:val="28"/>
        </w:rPr>
        <w:t xml:space="preserve"> </w:t>
      </w:r>
      <w:r w:rsidR="00E85ED8">
        <w:rPr>
          <w:rStyle w:val="normaltextrun"/>
          <w:color w:val="000000"/>
          <w:sz w:val="28"/>
          <w:szCs w:val="28"/>
        </w:rPr>
        <w:t xml:space="preserve">đã có sự </w:t>
      </w:r>
      <w:r>
        <w:rPr>
          <w:rStyle w:val="normaltextrun"/>
          <w:color w:val="000000"/>
          <w:sz w:val="28"/>
          <w:szCs w:val="28"/>
        </w:rPr>
        <w:t>suy giảm so với cùng kỳ năm trước. Bên cạnh tác động giảm cầu nhập khẩu của khối FDI, kết quả này còn cho thấy sự sụt giảm trong hoạt động của các doanh nghiệp nội địa. Ngoài ra, tổng vốn</w:t>
      </w:r>
      <w:r w:rsidR="00E85ED8">
        <w:rPr>
          <w:rStyle w:val="normaltextrun"/>
          <w:color w:val="000000"/>
          <w:sz w:val="28"/>
          <w:szCs w:val="28"/>
        </w:rPr>
        <w:t xml:space="preserve"> đầu tư nước ngoài đăng ký</w:t>
      </w:r>
      <w:r>
        <w:rPr>
          <w:rStyle w:val="normaltextrun"/>
          <w:color w:val="000000"/>
          <w:sz w:val="28"/>
          <w:szCs w:val="28"/>
        </w:rPr>
        <w:t xml:space="preserve"> vào Việt Nam tính đến </w:t>
      </w:r>
      <w:r w:rsidR="00E85ED8">
        <w:rPr>
          <w:rStyle w:val="normaltextrun"/>
          <w:color w:val="000000"/>
          <w:sz w:val="28"/>
          <w:szCs w:val="28"/>
        </w:rPr>
        <w:t>ngày 20/6/2023</w:t>
      </w:r>
      <w:r>
        <w:rPr>
          <w:rStyle w:val="normaltextrun"/>
          <w:color w:val="000000"/>
          <w:sz w:val="28"/>
          <w:szCs w:val="28"/>
        </w:rPr>
        <w:t xml:space="preserve"> giảm </w:t>
      </w:r>
      <w:r w:rsidR="00E85ED8">
        <w:rPr>
          <w:rStyle w:val="normaltextrun"/>
          <w:color w:val="000000"/>
          <w:sz w:val="28"/>
          <w:szCs w:val="28"/>
        </w:rPr>
        <w:t xml:space="preserve">4,3% </w:t>
      </w:r>
      <w:r>
        <w:rPr>
          <w:rStyle w:val="normaltextrun"/>
          <w:color w:val="000000"/>
          <w:sz w:val="28"/>
          <w:szCs w:val="28"/>
        </w:rPr>
        <w:t xml:space="preserve">so với cùng kỳ năm 2023, lợi thế về lao động rẻ và thuế cũng có thể bị ảnh hưởng nếu vấn đề áp thuế tối thiểu toàn cầu được áp dụng. Những yếu tố kém tích cực trên có ảnh hưởng không nhỏ đến kết quả </w:t>
      </w:r>
      <w:r w:rsidR="003736B5">
        <w:rPr>
          <w:rStyle w:val="normaltextrun"/>
          <w:color w:val="000000"/>
          <w:sz w:val="28"/>
          <w:szCs w:val="28"/>
        </w:rPr>
        <w:t xml:space="preserve">hoạt động sản xuất </w:t>
      </w:r>
      <w:r>
        <w:rPr>
          <w:rStyle w:val="normaltextrun"/>
          <w:color w:val="000000"/>
          <w:sz w:val="28"/>
          <w:szCs w:val="28"/>
        </w:rPr>
        <w:t xml:space="preserve">kinh doanh </w:t>
      </w:r>
      <w:r w:rsidR="003736B5">
        <w:rPr>
          <w:rStyle w:val="normaltextrun"/>
          <w:color w:val="000000"/>
          <w:sz w:val="28"/>
          <w:szCs w:val="28"/>
        </w:rPr>
        <w:t xml:space="preserve">(SXKD) </w:t>
      </w:r>
      <w:r>
        <w:rPr>
          <w:rStyle w:val="normaltextrun"/>
          <w:color w:val="000000"/>
          <w:sz w:val="28"/>
          <w:szCs w:val="28"/>
        </w:rPr>
        <w:t>của doanh nghiệp trong quý II và các Quý còn lại của năm 2023.</w:t>
      </w:r>
    </w:p>
    <w:p w:rsidR="00B543D1" w:rsidRDefault="00B543D1" w:rsidP="00EC1F66">
      <w:pPr>
        <w:spacing w:before="120" w:after="120"/>
        <w:ind w:firstLine="720"/>
        <w:jc w:val="both"/>
        <w:rPr>
          <w:lang w:val="nl-NL"/>
        </w:rPr>
      </w:pPr>
      <w:r>
        <w:rPr>
          <w:rFonts w:eastAsia="Arial"/>
          <w:spacing w:val="-4"/>
          <w:sz w:val="28"/>
          <w:szCs w:val="28"/>
          <w:lang w:val="nl-NL"/>
        </w:rPr>
        <w:t xml:space="preserve">Tuy vậy, thị trường trong 6 tháng đầu năm 2023 vẫn có nhiều điểm sáng tích cực. </w:t>
      </w:r>
      <w:r>
        <w:rPr>
          <w:sz w:val="28"/>
          <w:szCs w:val="28"/>
          <w:lang w:val="nl-NL"/>
        </w:rPr>
        <w:t xml:space="preserve">Chính phủ ban hành Nghị quyết số 88/NQ-CP phiên họp Chính phủ thường kỳ tháng 5 năm 2023 yêu cầu các bộ, cơ quan, địa phương tích cực tháo gỡ khó khăn, vướng mắc, nhất là về cơ chế, chính sách để hỗ trợ doanh nghiệp, người dân; thúc đẩy mạnh mẽ các động lực tăng trưởng của nền kinh tế bao gồm: tiêu dùng, đầu tư và xuất khẩu, phấn đấu giảm mặt bằng lãi suất huy động và cho vay nhằm hỗ trợ nền kinh tế phục hồi và phát triển sản xuất, kinh doanh, tiếp tục có các giải pháp mạnh mẽ, cụ thể để thúc đẩy khả năng hấp thụ vốn của nền kinh tế, điều hành tăng trưởng khối lượng và cơ cấu tín dụng hợp lý, đáp ứng nhu cầu vốn tín dụng cho nền kinh tế, hướng nguồn vốn tín dụng vào các lĩnh vực sản xuất, kinh doanh, nhất là lĩnh vực ưu tiên và các động lực tăng trưởng của nền kinh tế. </w:t>
      </w:r>
      <w:r>
        <w:rPr>
          <w:rFonts w:eastAsia="Arial"/>
          <w:spacing w:val="-4"/>
          <w:sz w:val="28"/>
          <w:szCs w:val="28"/>
          <w:lang w:val="nl-NL"/>
        </w:rPr>
        <w:t>Từ đầu năm đến nay, Ngân hàng Nhà nước Việt Nam (NHNN) đã 4 lần ban hành các quyết định điều chỉnh giảm mức lãi suất điều hành</w:t>
      </w:r>
      <w:r>
        <w:rPr>
          <w:rStyle w:val="FootnoteReference"/>
          <w:rFonts w:eastAsia="Arial"/>
          <w:spacing w:val="-4"/>
          <w:sz w:val="28"/>
          <w:szCs w:val="28"/>
          <w:lang w:val="nl-NL"/>
        </w:rPr>
        <w:footnoteReference w:id="3"/>
      </w:r>
      <w:r>
        <w:rPr>
          <w:rFonts w:eastAsia="Arial"/>
          <w:spacing w:val="-4"/>
          <w:sz w:val="28"/>
          <w:szCs w:val="28"/>
          <w:lang w:val="nl-NL"/>
        </w:rPr>
        <w:t xml:space="preserve">. Theo đó, </w:t>
      </w:r>
      <w:r>
        <w:rPr>
          <w:sz w:val="28"/>
          <w:szCs w:val="28"/>
          <w:lang w:val="nl-NL"/>
        </w:rPr>
        <w:t xml:space="preserve">lãi suất huy động và cho vay của nhiều ngân hàng thương mại cũng tiếp tục xu hướng giảm trong Quý II/2023. </w:t>
      </w:r>
    </w:p>
    <w:p w:rsidR="00B543D1" w:rsidRDefault="00B543D1" w:rsidP="00EC1F66">
      <w:pPr>
        <w:spacing w:before="120" w:after="120"/>
        <w:ind w:firstLine="720"/>
        <w:jc w:val="both"/>
        <w:rPr>
          <w:sz w:val="28"/>
          <w:szCs w:val="26"/>
          <w:shd w:val="clear" w:color="auto" w:fill="FFFFFF"/>
        </w:rPr>
      </w:pPr>
      <w:r>
        <w:rPr>
          <w:sz w:val="28"/>
          <w:szCs w:val="28"/>
          <w:lang w:val="nl-NL"/>
        </w:rPr>
        <w:t xml:space="preserve">Hoạt động của doanh nghiệp vẫn còn gặp khó khăn, tuy nhiên theo Báo cáo tình hình kinh tế - xã hội tháng </w:t>
      </w:r>
      <w:r w:rsidR="00882C61">
        <w:rPr>
          <w:sz w:val="28"/>
          <w:szCs w:val="28"/>
          <w:lang w:val="nl-NL"/>
        </w:rPr>
        <w:t>6</w:t>
      </w:r>
      <w:r>
        <w:rPr>
          <w:sz w:val="28"/>
          <w:szCs w:val="28"/>
          <w:lang w:val="nl-NL"/>
        </w:rPr>
        <w:t xml:space="preserve">/2023 và </w:t>
      </w:r>
      <w:r w:rsidR="00882C61">
        <w:rPr>
          <w:sz w:val="28"/>
          <w:szCs w:val="28"/>
          <w:lang w:val="nl-NL"/>
        </w:rPr>
        <w:t>6</w:t>
      </w:r>
      <w:r>
        <w:rPr>
          <w:sz w:val="28"/>
          <w:szCs w:val="28"/>
          <w:lang w:val="nl-NL"/>
        </w:rPr>
        <w:t xml:space="preserve"> tháng đầu năm của Tổng cục Thống kê, nhiều chỉ số kinh tế như chỉ số sản xuất công nghiệp, tổng mức bán lẻ hàng hóa và doanh thu dịch vụ tiêu dùng, tỷ lệ vốn đầu tư thực hiện từ nguồn ngân sách Nhà nước đã có sự cải thiện so với cùng kỳ năm 2022. Những chính sách hỗ trợ của Chính phủ trong việc tháo gỡ khó khăn cho doanh nghiệp và người dân, thúc đẩy tăng trưởng kinh tế, cải thiện môi trường đầu tư cùng với việc lãi suất hạ nhiệt giúp giảm chi phí cơ hội và chi phí vốn đối với đầu tư </w:t>
      </w:r>
      <w:r>
        <w:rPr>
          <w:sz w:val="28"/>
          <w:szCs w:val="28"/>
          <w:lang w:val="nl-NL"/>
        </w:rPr>
        <w:lastRenderedPageBreak/>
        <w:t>chứng khoán đã hỗ trợ thanh khoản thị trường được cải thiện, dòng tiền của nhà đầu tư trong nước có xu hướng trở lại TTCK.</w:t>
      </w:r>
    </w:p>
    <w:p w:rsidR="00B543D1" w:rsidRDefault="00B543D1" w:rsidP="00EC1F66">
      <w:pPr>
        <w:shd w:val="clear" w:color="auto" w:fill="FFFFFF"/>
        <w:spacing w:before="120" w:after="120"/>
        <w:ind w:firstLine="720"/>
        <w:jc w:val="both"/>
        <w:rPr>
          <w:rFonts w:eastAsia="Arial"/>
          <w:b/>
          <w:sz w:val="28"/>
          <w:szCs w:val="28"/>
          <w:lang w:val="nl-NL"/>
        </w:rPr>
      </w:pPr>
      <w:r>
        <w:rPr>
          <w:rFonts w:eastAsia="Arial"/>
          <w:b/>
          <w:sz w:val="28"/>
          <w:szCs w:val="28"/>
          <w:lang w:val="nl-NL"/>
        </w:rPr>
        <w:t>2. Tình hình hoạt động trên TTCK</w:t>
      </w:r>
    </w:p>
    <w:p w:rsidR="00B543D1" w:rsidRDefault="00B543D1" w:rsidP="00EC1F66">
      <w:pPr>
        <w:shd w:val="clear" w:color="auto" w:fill="FFFFFF"/>
        <w:spacing w:before="120" w:after="120"/>
        <w:ind w:firstLine="720"/>
        <w:jc w:val="both"/>
        <w:rPr>
          <w:color w:val="000000"/>
          <w:sz w:val="28"/>
          <w:szCs w:val="28"/>
          <w:shd w:val="clear" w:color="auto" w:fill="FFFFFF"/>
        </w:rPr>
      </w:pPr>
      <w:r>
        <w:rPr>
          <w:rFonts w:eastAsia="Arial"/>
          <w:sz w:val="28"/>
          <w:szCs w:val="28"/>
          <w:lang w:val="nl-NL"/>
        </w:rPr>
        <w:t xml:space="preserve">Trước tác động của những yếu tố nêu trên, TTCK Việt Nam tiếp tục trải qua nhiều biến động, tăng giảm đan xen trong 6 tháng đầu năm 2023. Sau những bước hồi phục trở lại trong tháng 01/2023, TTCK Việt Nam </w:t>
      </w:r>
      <w:r>
        <w:rPr>
          <w:sz w:val="28"/>
          <w:szCs w:val="28"/>
          <w:lang w:val="nl-NL"/>
        </w:rPr>
        <w:t>tiếp tục có những phiên giảm điểm trong tháng 02. Bước sang tháng 3, trước những tin tức về bất ổn trong hệ thống ngân hàng tại Mỹ và châu Âu, TTCK Việt Nam đã trải qua một vài phiên giảm điểm nhưng sau đó đã hồi phục trong những tuần tiếp theo. Sau nhiều phiên tăng điểm liên tiếp, TTCK Việt Nam điều chỉnh trong tháng 4 và phục hồi ngay sau đó vào những tuần đầu tháng 5</w:t>
      </w:r>
      <w:r>
        <w:rPr>
          <w:color w:val="000000"/>
          <w:sz w:val="28"/>
          <w:szCs w:val="28"/>
          <w:lang w:val="nl-NL"/>
        </w:rPr>
        <w:t xml:space="preserve">. Tiếp nối tháng 5, TTCK Việt Nam giao dịch khởi sắc trong tháng 6. </w:t>
      </w:r>
      <w:r>
        <w:rPr>
          <w:color w:val="000000"/>
          <w:sz w:val="28"/>
          <w:szCs w:val="28"/>
          <w:shd w:val="clear" w:color="auto" w:fill="FFFFFF"/>
        </w:rPr>
        <w:t xml:space="preserve">Kết thúc phiên ngày </w:t>
      </w:r>
      <w:r w:rsidR="00B756D8">
        <w:rPr>
          <w:color w:val="000000"/>
          <w:sz w:val="28"/>
          <w:szCs w:val="28"/>
          <w:shd w:val="clear" w:color="auto" w:fill="FFFFFF"/>
        </w:rPr>
        <w:t>30/6</w:t>
      </w:r>
      <w:r>
        <w:rPr>
          <w:color w:val="000000"/>
          <w:sz w:val="28"/>
          <w:szCs w:val="28"/>
          <w:shd w:val="clear" w:color="auto" w:fill="FFFFFF"/>
        </w:rPr>
        <w:t>/2023, chỉ số VN-Index đạt 1.12</w:t>
      </w:r>
      <w:r w:rsidR="00B756D8">
        <w:rPr>
          <w:color w:val="000000"/>
          <w:sz w:val="28"/>
          <w:szCs w:val="28"/>
          <w:shd w:val="clear" w:color="auto" w:fill="FFFFFF"/>
        </w:rPr>
        <w:t>0</w:t>
      </w:r>
      <w:r>
        <w:rPr>
          <w:color w:val="000000"/>
          <w:sz w:val="28"/>
          <w:szCs w:val="28"/>
          <w:shd w:val="clear" w:color="auto" w:fill="FFFFFF"/>
        </w:rPr>
        <w:t>,</w:t>
      </w:r>
      <w:r w:rsidR="00B756D8">
        <w:rPr>
          <w:color w:val="000000"/>
          <w:sz w:val="28"/>
          <w:szCs w:val="28"/>
          <w:shd w:val="clear" w:color="auto" w:fill="FFFFFF"/>
        </w:rPr>
        <w:t>18</w:t>
      </w:r>
      <w:r>
        <w:rPr>
          <w:color w:val="000000"/>
          <w:sz w:val="28"/>
          <w:szCs w:val="28"/>
          <w:shd w:val="clear" w:color="auto" w:fill="FFFFFF"/>
        </w:rPr>
        <w:t xml:space="preserve"> điểm, tăng 1</w:t>
      </w:r>
      <w:r w:rsidR="00B756D8">
        <w:rPr>
          <w:color w:val="000000"/>
          <w:sz w:val="28"/>
          <w:szCs w:val="28"/>
          <w:shd w:val="clear" w:color="auto" w:fill="FFFFFF"/>
        </w:rPr>
        <w:t>1</w:t>
      </w:r>
      <w:r>
        <w:rPr>
          <w:color w:val="000000"/>
          <w:sz w:val="28"/>
          <w:szCs w:val="28"/>
          <w:shd w:val="clear" w:color="auto" w:fill="FFFFFF"/>
        </w:rPr>
        <w:t>,</w:t>
      </w:r>
      <w:r w:rsidR="00B756D8">
        <w:rPr>
          <w:color w:val="000000"/>
          <w:sz w:val="28"/>
          <w:szCs w:val="28"/>
          <w:shd w:val="clear" w:color="auto" w:fill="FFFFFF"/>
        </w:rPr>
        <w:t>2</w:t>
      </w:r>
      <w:r>
        <w:rPr>
          <w:color w:val="000000"/>
          <w:sz w:val="28"/>
          <w:szCs w:val="28"/>
          <w:shd w:val="clear" w:color="auto" w:fill="FFFFFF"/>
        </w:rPr>
        <w:t>% so với cuối năm 2022. Trong khi đó, chỉ số HNX-Index đóng cửa ở mức 2</w:t>
      </w:r>
      <w:r w:rsidR="00B756D8">
        <w:rPr>
          <w:color w:val="000000"/>
          <w:sz w:val="28"/>
          <w:szCs w:val="28"/>
          <w:shd w:val="clear" w:color="auto" w:fill="FFFFFF"/>
        </w:rPr>
        <w:t>27</w:t>
      </w:r>
      <w:r>
        <w:rPr>
          <w:color w:val="000000"/>
          <w:sz w:val="28"/>
          <w:szCs w:val="28"/>
          <w:shd w:val="clear" w:color="auto" w:fill="FFFFFF"/>
        </w:rPr>
        <w:t>,</w:t>
      </w:r>
      <w:r w:rsidR="00B756D8">
        <w:rPr>
          <w:color w:val="000000"/>
          <w:sz w:val="28"/>
          <w:szCs w:val="28"/>
          <w:shd w:val="clear" w:color="auto" w:fill="FFFFFF"/>
        </w:rPr>
        <w:t>32</w:t>
      </w:r>
      <w:r>
        <w:rPr>
          <w:color w:val="000000"/>
          <w:sz w:val="28"/>
          <w:szCs w:val="28"/>
          <w:shd w:val="clear" w:color="auto" w:fill="FFFFFF"/>
        </w:rPr>
        <w:t xml:space="preserve"> điểm, tăng 1</w:t>
      </w:r>
      <w:r w:rsidR="00B756D8">
        <w:rPr>
          <w:color w:val="000000"/>
          <w:sz w:val="28"/>
          <w:szCs w:val="28"/>
          <w:shd w:val="clear" w:color="auto" w:fill="FFFFFF"/>
        </w:rPr>
        <w:t>0</w:t>
      </w:r>
      <w:r w:rsidR="00041E32">
        <w:rPr>
          <w:color w:val="000000"/>
          <w:sz w:val="28"/>
          <w:szCs w:val="28"/>
          <w:shd w:val="clear" w:color="auto" w:fill="FFFFFF"/>
        </w:rPr>
        <w:t>,</w:t>
      </w:r>
      <w:r w:rsidR="00B756D8">
        <w:rPr>
          <w:color w:val="000000"/>
          <w:sz w:val="28"/>
          <w:szCs w:val="28"/>
          <w:shd w:val="clear" w:color="auto" w:fill="FFFFFF"/>
        </w:rPr>
        <w:t>7</w:t>
      </w:r>
      <w:r>
        <w:rPr>
          <w:color w:val="000000"/>
          <w:sz w:val="28"/>
          <w:szCs w:val="28"/>
          <w:shd w:val="clear" w:color="auto" w:fill="FFFFFF"/>
        </w:rPr>
        <w:t xml:space="preserve">% so với cuối năm 2022. Mức vốn hóa thị trường cổ phiếu 3 sàn HOSE, HNX và UPCoM ngày </w:t>
      </w:r>
      <w:r w:rsidR="00B756D8">
        <w:rPr>
          <w:color w:val="000000"/>
          <w:sz w:val="28"/>
          <w:szCs w:val="28"/>
          <w:shd w:val="clear" w:color="auto" w:fill="FFFFFF"/>
        </w:rPr>
        <w:t>30</w:t>
      </w:r>
      <w:r>
        <w:rPr>
          <w:color w:val="000000"/>
          <w:sz w:val="28"/>
          <w:szCs w:val="28"/>
          <w:shd w:val="clear" w:color="auto" w:fill="FFFFFF"/>
        </w:rPr>
        <w:t>/6/2023 đạt 5.</w:t>
      </w:r>
      <w:r w:rsidR="00191249">
        <w:rPr>
          <w:color w:val="000000"/>
          <w:sz w:val="28"/>
          <w:szCs w:val="28"/>
          <w:shd w:val="clear" w:color="auto" w:fill="FFFFFF"/>
        </w:rPr>
        <w:t>783</w:t>
      </w:r>
      <w:r>
        <w:rPr>
          <w:color w:val="000000"/>
          <w:sz w:val="28"/>
          <w:szCs w:val="28"/>
          <w:shd w:val="clear" w:color="auto" w:fill="FFFFFF"/>
        </w:rPr>
        <w:t xml:space="preserve"> nghìn tỷ đồng, tăng 1</w:t>
      </w:r>
      <w:r w:rsidR="00191249">
        <w:rPr>
          <w:color w:val="000000"/>
          <w:sz w:val="28"/>
          <w:szCs w:val="28"/>
          <w:shd w:val="clear" w:color="auto" w:fill="FFFFFF"/>
        </w:rPr>
        <w:t>0</w:t>
      </w:r>
      <w:r>
        <w:rPr>
          <w:color w:val="000000"/>
          <w:sz w:val="28"/>
          <w:szCs w:val="28"/>
          <w:shd w:val="clear" w:color="auto" w:fill="FFFFFF"/>
        </w:rPr>
        <w:t>,</w:t>
      </w:r>
      <w:r w:rsidR="00191249">
        <w:rPr>
          <w:color w:val="000000"/>
          <w:sz w:val="28"/>
          <w:szCs w:val="28"/>
          <w:shd w:val="clear" w:color="auto" w:fill="FFFFFF"/>
        </w:rPr>
        <w:t>7</w:t>
      </w:r>
      <w:r>
        <w:rPr>
          <w:color w:val="000000"/>
          <w:sz w:val="28"/>
          <w:szCs w:val="28"/>
          <w:shd w:val="clear" w:color="auto" w:fill="FFFFFF"/>
        </w:rPr>
        <w:t>% so với cuối năm 2022, tương đương 6</w:t>
      </w:r>
      <w:r w:rsidR="00191249">
        <w:rPr>
          <w:color w:val="000000"/>
          <w:sz w:val="28"/>
          <w:szCs w:val="28"/>
          <w:shd w:val="clear" w:color="auto" w:fill="FFFFFF"/>
        </w:rPr>
        <w:t>0,8</w:t>
      </w:r>
      <w:r>
        <w:rPr>
          <w:color w:val="000000"/>
          <w:sz w:val="28"/>
          <w:szCs w:val="28"/>
          <w:shd w:val="clear" w:color="auto" w:fill="FFFFFF"/>
        </w:rPr>
        <w:t xml:space="preserve">% GDP ước tính năm 2022. </w:t>
      </w:r>
    </w:p>
    <w:p w:rsidR="00B543D1" w:rsidRDefault="00B543D1" w:rsidP="00EC1F66">
      <w:pPr>
        <w:shd w:val="clear" w:color="auto" w:fill="FFFFFF"/>
        <w:spacing w:before="120" w:after="120"/>
        <w:ind w:firstLine="720"/>
        <w:jc w:val="both"/>
        <w:rPr>
          <w:rFonts w:eastAsia="Calibri"/>
          <w:color w:val="000000"/>
          <w:sz w:val="28"/>
          <w:szCs w:val="28"/>
          <w:shd w:val="clear" w:color="auto" w:fill="FFFFFF"/>
        </w:rPr>
      </w:pPr>
      <w:r>
        <w:rPr>
          <w:color w:val="000000"/>
          <w:sz w:val="28"/>
          <w:szCs w:val="28"/>
        </w:rPr>
        <w:t xml:space="preserve">Thanh khoản thị trường tiếp tục trầm lắng trong Quý I/2023, với giá trị giao dịch bình quân phiên đạt </w:t>
      </w:r>
      <w:r w:rsidR="00025175">
        <w:rPr>
          <w:color w:val="000000"/>
          <w:sz w:val="28"/>
          <w:szCs w:val="28"/>
        </w:rPr>
        <w:t xml:space="preserve">xấp xỉ </w:t>
      </w:r>
      <w:r>
        <w:rPr>
          <w:color w:val="000000"/>
          <w:sz w:val="28"/>
          <w:szCs w:val="28"/>
          <w:shd w:val="clear" w:color="auto" w:fill="FFFFFF"/>
        </w:rPr>
        <w:t>11.</w:t>
      </w:r>
      <w:r w:rsidR="00025175">
        <w:rPr>
          <w:color w:val="000000"/>
          <w:sz w:val="28"/>
          <w:szCs w:val="28"/>
          <w:shd w:val="clear" w:color="auto" w:fill="FFFFFF"/>
        </w:rPr>
        <w:t>300</w:t>
      </w:r>
      <w:r>
        <w:rPr>
          <w:color w:val="000000"/>
          <w:sz w:val="28"/>
          <w:szCs w:val="28"/>
          <w:shd w:val="clear" w:color="auto" w:fill="FFFFFF"/>
        </w:rPr>
        <w:t xml:space="preserve"> tỷ đồng/phiên, giảm 44% so với bình quân năm 2022. </w:t>
      </w:r>
      <w:r>
        <w:rPr>
          <w:color w:val="000000"/>
          <w:sz w:val="28"/>
          <w:szCs w:val="28"/>
        </w:rPr>
        <w:t>Bước sang Quý II/2023, thanh khoản thị trường khởi sắc với giá trị giao dịch bình quân tháng 4</w:t>
      </w:r>
      <w:r w:rsidR="00C94846">
        <w:rPr>
          <w:color w:val="000000"/>
          <w:sz w:val="28"/>
          <w:szCs w:val="28"/>
        </w:rPr>
        <w:t>,</w:t>
      </w:r>
      <w:r>
        <w:rPr>
          <w:color w:val="000000"/>
          <w:sz w:val="28"/>
          <w:szCs w:val="28"/>
        </w:rPr>
        <w:t xml:space="preserve"> 5</w:t>
      </w:r>
      <w:r w:rsidR="00C94846">
        <w:rPr>
          <w:color w:val="000000"/>
          <w:sz w:val="28"/>
          <w:szCs w:val="28"/>
        </w:rPr>
        <w:t xml:space="preserve"> và 6</w:t>
      </w:r>
      <w:r>
        <w:rPr>
          <w:color w:val="000000"/>
          <w:sz w:val="28"/>
          <w:szCs w:val="28"/>
        </w:rPr>
        <w:t xml:space="preserve"> </w:t>
      </w:r>
      <w:r w:rsidR="002B60ED">
        <w:rPr>
          <w:color w:val="000000"/>
          <w:sz w:val="28"/>
          <w:szCs w:val="28"/>
        </w:rPr>
        <w:t xml:space="preserve">tăng trưởng tích cực, </w:t>
      </w:r>
      <w:r>
        <w:rPr>
          <w:color w:val="000000"/>
          <w:sz w:val="28"/>
          <w:szCs w:val="28"/>
        </w:rPr>
        <w:t>lần lượt đạt 13.374 tỷ đồng/phiên</w:t>
      </w:r>
      <w:r w:rsidR="00C94846">
        <w:rPr>
          <w:color w:val="000000"/>
          <w:sz w:val="28"/>
          <w:szCs w:val="28"/>
        </w:rPr>
        <w:t>,</w:t>
      </w:r>
      <w:r>
        <w:rPr>
          <w:color w:val="000000"/>
          <w:sz w:val="28"/>
          <w:szCs w:val="28"/>
        </w:rPr>
        <w:t xml:space="preserve"> 14.495 tỷ đồng/phiên</w:t>
      </w:r>
      <w:r w:rsidR="00C94846">
        <w:rPr>
          <w:color w:val="000000"/>
          <w:sz w:val="28"/>
          <w:szCs w:val="28"/>
        </w:rPr>
        <w:t xml:space="preserve"> và </w:t>
      </w:r>
      <w:r w:rsidR="00977CC8">
        <w:rPr>
          <w:color w:val="000000"/>
          <w:sz w:val="28"/>
          <w:szCs w:val="28"/>
        </w:rPr>
        <w:t>19.829 tỷ đồng/phiên</w:t>
      </w:r>
      <w:r>
        <w:rPr>
          <w:color w:val="000000"/>
          <w:sz w:val="28"/>
          <w:szCs w:val="28"/>
        </w:rPr>
        <w:t xml:space="preserve">. Tính </w:t>
      </w:r>
      <w:r w:rsidR="006523AD">
        <w:rPr>
          <w:color w:val="000000"/>
          <w:sz w:val="28"/>
          <w:szCs w:val="28"/>
        </w:rPr>
        <w:t>chung 6 tháng đầu năm 2023</w:t>
      </w:r>
      <w:r>
        <w:rPr>
          <w:color w:val="000000"/>
          <w:sz w:val="28"/>
          <w:szCs w:val="28"/>
        </w:rPr>
        <w:t>, giá trị giao dịch bình quân đạt 13.</w:t>
      </w:r>
      <w:r w:rsidR="006523AD">
        <w:rPr>
          <w:color w:val="000000"/>
          <w:sz w:val="28"/>
          <w:szCs w:val="28"/>
        </w:rPr>
        <w:t>729</w:t>
      </w:r>
      <w:r>
        <w:rPr>
          <w:color w:val="000000"/>
          <w:sz w:val="28"/>
          <w:szCs w:val="28"/>
        </w:rPr>
        <w:t xml:space="preserve"> tỷ đồng/phiên, giảm 3</w:t>
      </w:r>
      <w:r w:rsidR="006523AD">
        <w:rPr>
          <w:color w:val="000000"/>
          <w:sz w:val="28"/>
          <w:szCs w:val="28"/>
        </w:rPr>
        <w:t>1</w:t>
      </w:r>
      <w:r>
        <w:rPr>
          <w:color w:val="000000"/>
          <w:sz w:val="28"/>
          <w:szCs w:val="28"/>
        </w:rPr>
        <w:t>,</w:t>
      </w:r>
      <w:r w:rsidR="006523AD">
        <w:rPr>
          <w:color w:val="000000"/>
          <w:sz w:val="28"/>
          <w:szCs w:val="28"/>
        </w:rPr>
        <w:t>9</w:t>
      </w:r>
      <w:r>
        <w:rPr>
          <w:color w:val="000000"/>
          <w:sz w:val="28"/>
          <w:szCs w:val="28"/>
        </w:rPr>
        <w:t>% so với bình quân năm 2022.</w:t>
      </w:r>
    </w:p>
    <w:p w:rsidR="00B543D1" w:rsidRPr="00443B9B" w:rsidRDefault="00B543D1" w:rsidP="00EC1F66">
      <w:pPr>
        <w:widowControl w:val="0"/>
        <w:spacing w:before="120" w:after="120"/>
        <w:ind w:firstLine="720"/>
        <w:jc w:val="both"/>
        <w:rPr>
          <w:color w:val="000000"/>
          <w:sz w:val="32"/>
          <w:szCs w:val="28"/>
          <w:shd w:val="clear" w:color="auto" w:fill="FFFFFF"/>
        </w:rPr>
      </w:pPr>
      <w:r w:rsidRPr="00443B9B">
        <w:rPr>
          <w:color w:val="000000"/>
          <w:sz w:val="28"/>
          <w:shd w:val="clear" w:color="auto" w:fill="FFFFFF"/>
        </w:rPr>
        <w:t> Về hoạt động niêm yết và đăng ký giao dịch (ĐKGD), đến cuối tháng 5/2023, thị trường có 745 cổ phiếu, chứng chỉ quỹ niêm yết trên 2 S</w:t>
      </w:r>
      <w:r w:rsidR="00443B9B">
        <w:rPr>
          <w:color w:val="000000"/>
          <w:sz w:val="28"/>
          <w:shd w:val="clear" w:color="auto" w:fill="FFFFFF"/>
        </w:rPr>
        <w:t>ở giao dịch chứng khoán (S</w:t>
      </w:r>
      <w:r w:rsidRPr="00443B9B">
        <w:rPr>
          <w:color w:val="000000"/>
          <w:sz w:val="28"/>
          <w:shd w:val="clear" w:color="auto" w:fill="FFFFFF"/>
        </w:rPr>
        <w:t>GDCK</w:t>
      </w:r>
      <w:r w:rsidR="00443B9B">
        <w:rPr>
          <w:color w:val="000000"/>
          <w:sz w:val="28"/>
          <w:shd w:val="clear" w:color="auto" w:fill="FFFFFF"/>
        </w:rPr>
        <w:t>)</w:t>
      </w:r>
      <w:r w:rsidRPr="00443B9B">
        <w:rPr>
          <w:color w:val="000000"/>
          <w:sz w:val="28"/>
          <w:shd w:val="clear" w:color="auto" w:fill="FFFFFF"/>
        </w:rPr>
        <w:t xml:space="preserve"> và 869 cổ phiếu ĐKGD trên U</w:t>
      </w:r>
      <w:r w:rsidR="00443B9B">
        <w:rPr>
          <w:color w:val="000000"/>
          <w:sz w:val="28"/>
          <w:shd w:val="clear" w:color="auto" w:fill="FFFFFF"/>
        </w:rPr>
        <w:t>p</w:t>
      </w:r>
      <w:r w:rsidRPr="00443B9B">
        <w:rPr>
          <w:color w:val="000000"/>
          <w:sz w:val="28"/>
          <w:shd w:val="clear" w:color="auto" w:fill="FFFFFF"/>
        </w:rPr>
        <w:t>Co</w:t>
      </w:r>
      <w:r w:rsidR="00443B9B">
        <w:rPr>
          <w:color w:val="000000"/>
          <w:sz w:val="28"/>
          <w:shd w:val="clear" w:color="auto" w:fill="FFFFFF"/>
        </w:rPr>
        <w:t>m</w:t>
      </w:r>
      <w:r w:rsidRPr="00443B9B">
        <w:rPr>
          <w:color w:val="000000"/>
          <w:sz w:val="28"/>
          <w:shd w:val="clear" w:color="auto" w:fill="FFFFFF"/>
        </w:rPr>
        <w:t xml:space="preserve"> với tổng giá trị niêm yết, ĐKGD đạt 1.993 nghìn tỷ đồng, tăng 0,5% so với cuối năm 2022 (tương đương 21% GDP ước tính năm 2022).</w:t>
      </w:r>
    </w:p>
    <w:p w:rsidR="00B543D1" w:rsidRDefault="00B543D1" w:rsidP="00EC1F66">
      <w:pPr>
        <w:widowControl w:val="0"/>
        <w:tabs>
          <w:tab w:val="left" w:pos="5835"/>
        </w:tabs>
        <w:spacing w:before="120" w:after="120"/>
        <w:ind w:firstLine="720"/>
        <w:jc w:val="both"/>
        <w:rPr>
          <w:color w:val="000000"/>
          <w:sz w:val="28"/>
          <w:shd w:val="clear" w:color="auto" w:fill="FFFFFF"/>
        </w:rPr>
      </w:pPr>
      <w:r>
        <w:rPr>
          <w:color w:val="000000"/>
          <w:sz w:val="28"/>
          <w:szCs w:val="28"/>
          <w:shd w:val="clear" w:color="auto" w:fill="FFFFFF"/>
        </w:rPr>
        <w:t xml:space="preserve">Trên thị trường trái phiếu niêm yết, giá trị giao dịch bình quân </w:t>
      </w:r>
      <w:r w:rsidR="00CC164F">
        <w:rPr>
          <w:color w:val="000000"/>
          <w:sz w:val="28"/>
          <w:szCs w:val="28"/>
          <w:shd w:val="clear" w:color="auto" w:fill="FFFFFF"/>
        </w:rPr>
        <w:t xml:space="preserve">tháng 6 </w:t>
      </w:r>
      <w:r>
        <w:rPr>
          <w:color w:val="000000"/>
          <w:sz w:val="28"/>
          <w:szCs w:val="28"/>
          <w:shd w:val="clear" w:color="auto" w:fill="FFFFFF"/>
        </w:rPr>
        <w:t>đạt 7.0</w:t>
      </w:r>
      <w:r w:rsidR="00CC164F">
        <w:rPr>
          <w:color w:val="000000"/>
          <w:sz w:val="28"/>
          <w:szCs w:val="28"/>
          <w:shd w:val="clear" w:color="auto" w:fill="FFFFFF"/>
        </w:rPr>
        <w:t>40</w:t>
      </w:r>
      <w:r>
        <w:rPr>
          <w:color w:val="000000"/>
          <w:sz w:val="28"/>
          <w:szCs w:val="28"/>
          <w:shd w:val="clear" w:color="auto" w:fill="FFFFFF"/>
        </w:rPr>
        <w:t xml:space="preserve"> tỷ đồng/phiên, tăng </w:t>
      </w:r>
      <w:r w:rsidR="00CC164F">
        <w:rPr>
          <w:color w:val="000000"/>
          <w:sz w:val="28"/>
          <w:szCs w:val="28"/>
          <w:shd w:val="clear" w:color="auto" w:fill="FFFFFF"/>
        </w:rPr>
        <w:t>6</w:t>
      </w:r>
      <w:r>
        <w:rPr>
          <w:color w:val="000000"/>
          <w:sz w:val="28"/>
          <w:szCs w:val="28"/>
          <w:shd w:val="clear" w:color="auto" w:fill="FFFFFF"/>
        </w:rPr>
        <w:t>,</w:t>
      </w:r>
      <w:r w:rsidR="00CC164F">
        <w:rPr>
          <w:color w:val="000000"/>
          <w:sz w:val="28"/>
          <w:szCs w:val="28"/>
          <w:shd w:val="clear" w:color="auto" w:fill="FFFFFF"/>
        </w:rPr>
        <w:t>2</w:t>
      </w:r>
      <w:r>
        <w:rPr>
          <w:color w:val="000000"/>
          <w:sz w:val="28"/>
          <w:szCs w:val="28"/>
          <w:shd w:val="clear" w:color="auto" w:fill="FFFFFF"/>
        </w:rPr>
        <w:t>% so với bình quân tháng trước</w:t>
      </w:r>
      <w:r w:rsidR="00CC164F">
        <w:rPr>
          <w:color w:val="000000"/>
          <w:sz w:val="28"/>
          <w:szCs w:val="28"/>
          <w:shd w:val="clear" w:color="auto" w:fill="FFFFFF"/>
        </w:rPr>
        <w:t>; tuy nhiên, tính chung 6 tháng đầu năm 2023</w:t>
      </w:r>
      <w:r>
        <w:rPr>
          <w:color w:val="000000"/>
          <w:sz w:val="28"/>
          <w:szCs w:val="28"/>
          <w:shd w:val="clear" w:color="auto" w:fill="FFFFFF"/>
        </w:rPr>
        <w:t>, giá trị giao dịch bình quân đạt 5.8</w:t>
      </w:r>
      <w:r w:rsidR="00CC164F">
        <w:rPr>
          <w:color w:val="000000"/>
          <w:sz w:val="28"/>
          <w:szCs w:val="28"/>
          <w:shd w:val="clear" w:color="auto" w:fill="FFFFFF"/>
        </w:rPr>
        <w:t>71</w:t>
      </w:r>
      <w:r>
        <w:rPr>
          <w:color w:val="000000"/>
          <w:sz w:val="28"/>
          <w:szCs w:val="28"/>
          <w:shd w:val="clear" w:color="auto" w:fill="FFFFFF"/>
        </w:rPr>
        <w:t xml:space="preserve"> tỷ đồng/phiên, giảm 2</w:t>
      </w:r>
      <w:r w:rsidR="00CC164F">
        <w:rPr>
          <w:color w:val="000000"/>
          <w:sz w:val="28"/>
          <w:szCs w:val="28"/>
          <w:shd w:val="clear" w:color="auto" w:fill="FFFFFF"/>
        </w:rPr>
        <w:t>3</w:t>
      </w:r>
      <w:r>
        <w:rPr>
          <w:color w:val="000000"/>
          <w:sz w:val="28"/>
          <w:szCs w:val="28"/>
          <w:shd w:val="clear" w:color="auto" w:fill="FFFFFF"/>
        </w:rPr>
        <w:t>,</w:t>
      </w:r>
      <w:r w:rsidR="00CC164F">
        <w:rPr>
          <w:color w:val="000000"/>
          <w:sz w:val="28"/>
          <w:szCs w:val="28"/>
          <w:shd w:val="clear" w:color="auto" w:fill="FFFFFF"/>
        </w:rPr>
        <w:t>6</w:t>
      </w:r>
      <w:r>
        <w:rPr>
          <w:color w:val="000000"/>
          <w:sz w:val="28"/>
          <w:szCs w:val="28"/>
          <w:shd w:val="clear" w:color="auto" w:fill="FFFFFF"/>
        </w:rPr>
        <w:t xml:space="preserve">% so với bình quân năm 2022. </w:t>
      </w:r>
      <w:r>
        <w:rPr>
          <w:color w:val="000000"/>
          <w:sz w:val="28"/>
          <w:shd w:val="clear" w:color="auto" w:fill="FFFFFF"/>
        </w:rPr>
        <w:t>Về quy mô niêm yết, đến cuối tháng 5/2023, thị trường có 451 mã trái phiếu niêm yết với giá trị niêm yết đạt hơn 1.897 nghìn tỷ đồng, tăng 9% so với năm 2022 (tương đương 19,9% GDP</w:t>
      </w:r>
      <w:r>
        <w:t xml:space="preserve"> </w:t>
      </w:r>
      <w:r>
        <w:rPr>
          <w:color w:val="000000"/>
          <w:sz w:val="28"/>
          <w:shd w:val="clear" w:color="auto" w:fill="FFFFFF"/>
        </w:rPr>
        <w:t>ước tính năm 2022).</w:t>
      </w:r>
    </w:p>
    <w:p w:rsidR="00613685" w:rsidRDefault="00613685" w:rsidP="00EC1F66">
      <w:pPr>
        <w:widowControl w:val="0"/>
        <w:tabs>
          <w:tab w:val="left" w:pos="5835"/>
        </w:tabs>
        <w:spacing w:before="120" w:after="120"/>
        <w:ind w:firstLine="720"/>
        <w:jc w:val="both"/>
        <w:rPr>
          <w:b/>
          <w:color w:val="000000"/>
          <w:sz w:val="28"/>
          <w:szCs w:val="28"/>
        </w:rPr>
      </w:pPr>
      <w:r>
        <w:rPr>
          <w:b/>
          <w:color w:val="000000"/>
          <w:sz w:val="28"/>
          <w:szCs w:val="28"/>
        </w:rPr>
        <w:t>3. Tình hình điều hành, quản lý hoạt động TTCK trong 6 tháng đầu năm 2023</w:t>
      </w:r>
    </w:p>
    <w:p w:rsidR="00613685" w:rsidRDefault="00613685" w:rsidP="00EC1F66">
      <w:pPr>
        <w:widowControl w:val="0"/>
        <w:tabs>
          <w:tab w:val="left" w:pos="5835"/>
        </w:tabs>
        <w:spacing w:before="120" w:after="120"/>
        <w:ind w:firstLine="720"/>
        <w:jc w:val="both"/>
        <w:rPr>
          <w:color w:val="000000"/>
          <w:sz w:val="28"/>
          <w:szCs w:val="28"/>
        </w:rPr>
      </w:pPr>
      <w:r>
        <w:rPr>
          <w:color w:val="000000"/>
          <w:sz w:val="28"/>
          <w:szCs w:val="28"/>
        </w:rPr>
        <w:t xml:space="preserve">Trong thời gian qua, nhằm ổn định và phát triển </w:t>
      </w:r>
      <w:r w:rsidR="008A0B16">
        <w:rPr>
          <w:color w:val="000000"/>
          <w:sz w:val="28"/>
          <w:szCs w:val="28"/>
        </w:rPr>
        <w:t>TTCK</w:t>
      </w:r>
      <w:r>
        <w:rPr>
          <w:color w:val="000000"/>
          <w:sz w:val="28"/>
          <w:szCs w:val="28"/>
        </w:rPr>
        <w:t xml:space="preserve"> lành mạnh, hiệu quả, UBCKNN </w:t>
      </w:r>
      <w:r w:rsidR="008A0B16">
        <w:rPr>
          <w:color w:val="000000"/>
          <w:sz w:val="28"/>
          <w:szCs w:val="28"/>
        </w:rPr>
        <w:t>đã triển khai</w:t>
      </w:r>
      <w:r>
        <w:rPr>
          <w:color w:val="000000"/>
          <w:sz w:val="28"/>
          <w:szCs w:val="28"/>
        </w:rPr>
        <w:t xml:space="preserve"> công tác điều hành, quản lý</w:t>
      </w:r>
      <w:r w:rsidR="008A0B16">
        <w:rPr>
          <w:color w:val="000000"/>
          <w:sz w:val="28"/>
          <w:szCs w:val="28"/>
        </w:rPr>
        <w:t>, tập trung</w:t>
      </w:r>
      <w:r>
        <w:rPr>
          <w:color w:val="000000"/>
          <w:sz w:val="28"/>
          <w:szCs w:val="28"/>
        </w:rPr>
        <w:t xml:space="preserve"> vào các nhiệm vụ sau</w:t>
      </w:r>
      <w:r w:rsidR="008A0B16">
        <w:rPr>
          <w:color w:val="000000"/>
          <w:sz w:val="28"/>
          <w:szCs w:val="28"/>
        </w:rPr>
        <w:t xml:space="preserve"> đây</w:t>
      </w:r>
      <w:r>
        <w:rPr>
          <w:color w:val="000000"/>
          <w:sz w:val="28"/>
          <w:szCs w:val="28"/>
        </w:rPr>
        <w:t>:</w:t>
      </w:r>
    </w:p>
    <w:p w:rsidR="00613685" w:rsidRDefault="00613685" w:rsidP="00EC1F66">
      <w:pPr>
        <w:widowControl w:val="0"/>
        <w:tabs>
          <w:tab w:val="left" w:pos="5835"/>
        </w:tabs>
        <w:spacing w:before="120" w:after="120"/>
        <w:ind w:firstLine="720"/>
        <w:jc w:val="both"/>
        <w:rPr>
          <w:color w:val="000000"/>
          <w:sz w:val="28"/>
          <w:szCs w:val="28"/>
        </w:rPr>
      </w:pPr>
      <w:r>
        <w:rPr>
          <w:color w:val="000000"/>
          <w:sz w:val="28"/>
          <w:szCs w:val="28"/>
        </w:rPr>
        <w:lastRenderedPageBreak/>
        <w:t>- Về công tác xây dựng cơ chế chính sách</w:t>
      </w:r>
      <w:r w:rsidR="00B715B1">
        <w:rPr>
          <w:color w:val="000000"/>
          <w:sz w:val="28"/>
          <w:szCs w:val="28"/>
        </w:rPr>
        <w:t xml:space="preserve"> TTCK</w:t>
      </w:r>
      <w:r>
        <w:rPr>
          <w:color w:val="000000"/>
          <w:sz w:val="28"/>
          <w:szCs w:val="28"/>
        </w:rPr>
        <w:t xml:space="preserve">: Tiếp tục rà soát, kiến nghị, trình cấp có thẩm quyền ban hành sửa đổi, bổ sung các quy định pháp lý nhằm tháo gỡ khó khăn, vướng mắc của các chủ thể tham gia thị trường; </w:t>
      </w:r>
      <w:r w:rsidR="004C2960">
        <w:rPr>
          <w:color w:val="000000"/>
          <w:sz w:val="28"/>
          <w:szCs w:val="28"/>
        </w:rPr>
        <w:t>trình Bộ ban hành Thông tư hướng dẫn việc đăng ký, lưu ký, thực hiện quyền, chuyển quyền sở hữu, thanh toán giao dịch và tổ chức thị trường giao dịch trái phiếu doanh nghiệp chào bán riêng lẻ tại thị trường trong nước.</w:t>
      </w:r>
    </w:p>
    <w:p w:rsidR="00613685" w:rsidRDefault="00613685" w:rsidP="00EC1F66">
      <w:pPr>
        <w:tabs>
          <w:tab w:val="left" w:pos="993"/>
        </w:tabs>
        <w:spacing w:before="120" w:after="120"/>
        <w:ind w:firstLine="720"/>
        <w:jc w:val="both"/>
        <w:rPr>
          <w:sz w:val="28"/>
          <w:szCs w:val="28"/>
          <w:lang w:val="nl-NL"/>
        </w:rPr>
      </w:pPr>
      <w:r>
        <w:rPr>
          <w:color w:val="000000"/>
          <w:sz w:val="28"/>
          <w:szCs w:val="28"/>
        </w:rPr>
        <w:t xml:space="preserve">- Về công tác quản lý các công ty chứng khoán, công ty quản lý quỹ và quỹ đầu tư chứng khoán: </w:t>
      </w:r>
      <w:r w:rsidR="002E013B">
        <w:rPr>
          <w:color w:val="000000"/>
          <w:sz w:val="28"/>
          <w:szCs w:val="28"/>
        </w:rPr>
        <w:t>Tăng cường g</w:t>
      </w:r>
      <w:r>
        <w:rPr>
          <w:color w:val="000000"/>
          <w:sz w:val="28"/>
          <w:szCs w:val="28"/>
        </w:rPr>
        <w:t xml:space="preserve">iám sát hoạt động tổ chức kinh doanh chứng khoán; </w:t>
      </w:r>
      <w:r w:rsidR="007A1052">
        <w:rPr>
          <w:color w:val="000000"/>
          <w:sz w:val="28"/>
          <w:szCs w:val="28"/>
        </w:rPr>
        <w:t xml:space="preserve">tổ chức kiểm tra, thanh tra hoạt động của các tổ chức kinh doanh chứng khoán, xử lý </w:t>
      </w:r>
      <w:r w:rsidR="00FA3960">
        <w:rPr>
          <w:color w:val="000000"/>
          <w:sz w:val="28"/>
          <w:szCs w:val="28"/>
        </w:rPr>
        <w:t xml:space="preserve">nghiêm </w:t>
      </w:r>
      <w:r w:rsidR="00A35CB5">
        <w:rPr>
          <w:color w:val="000000"/>
          <w:sz w:val="28"/>
          <w:szCs w:val="28"/>
        </w:rPr>
        <w:t xml:space="preserve">các trường hợp </w:t>
      </w:r>
      <w:r w:rsidR="00FA3960">
        <w:rPr>
          <w:color w:val="000000"/>
          <w:sz w:val="28"/>
          <w:szCs w:val="28"/>
        </w:rPr>
        <w:t xml:space="preserve">vi phạm </w:t>
      </w:r>
      <w:r w:rsidR="007A1052">
        <w:rPr>
          <w:color w:val="000000"/>
          <w:sz w:val="28"/>
          <w:szCs w:val="28"/>
        </w:rPr>
        <w:t>theo quy định</w:t>
      </w:r>
      <w:r>
        <w:rPr>
          <w:color w:val="000000"/>
          <w:sz w:val="28"/>
          <w:szCs w:val="28"/>
        </w:rPr>
        <w:t xml:space="preserve">; triển khai xây dựng cơ sở dữ liệu người hành nghề chứng khoán. </w:t>
      </w:r>
    </w:p>
    <w:p w:rsidR="00B97CA1" w:rsidRDefault="00613685" w:rsidP="00EC1F66">
      <w:pPr>
        <w:widowControl w:val="0"/>
        <w:tabs>
          <w:tab w:val="left" w:pos="5835"/>
        </w:tabs>
        <w:spacing w:before="120" w:after="120"/>
        <w:ind w:firstLine="720"/>
        <w:jc w:val="both"/>
        <w:rPr>
          <w:color w:val="000000"/>
          <w:sz w:val="28"/>
          <w:szCs w:val="28"/>
        </w:rPr>
      </w:pPr>
      <w:r>
        <w:rPr>
          <w:color w:val="000000"/>
          <w:sz w:val="28"/>
          <w:szCs w:val="28"/>
        </w:rPr>
        <w:t xml:space="preserve">- Về công tác quản lý chào bán, giám sát công ty đại chúng: </w:t>
      </w:r>
    </w:p>
    <w:p w:rsidR="00B97CA1" w:rsidRDefault="00B97CA1" w:rsidP="00EC1F66">
      <w:pPr>
        <w:widowControl w:val="0"/>
        <w:tabs>
          <w:tab w:val="left" w:pos="5835"/>
        </w:tabs>
        <w:spacing w:before="120" w:after="120"/>
        <w:ind w:firstLine="720"/>
        <w:jc w:val="both"/>
        <w:rPr>
          <w:color w:val="000000"/>
          <w:sz w:val="28"/>
          <w:shd w:val="clear" w:color="auto" w:fill="FFFFFF"/>
        </w:rPr>
      </w:pPr>
      <w:r>
        <w:rPr>
          <w:color w:val="000000"/>
          <w:sz w:val="28"/>
          <w:szCs w:val="28"/>
        </w:rPr>
        <w:t xml:space="preserve">Về hoạt động chào bán chứng khoán, </w:t>
      </w:r>
      <w:r>
        <w:rPr>
          <w:color w:val="000000"/>
          <w:sz w:val="28"/>
          <w:shd w:val="clear" w:color="auto" w:fill="FFFFFF"/>
        </w:rPr>
        <w:t>trong 5 tháng đầu năm 2023, UBCKNN đã cấp phép/chấp thuận chào bán 4.964,2 tỷ đồng cổ phiếu ra công chúng, 3.064,2 tỷ đồng cổ phiếu riêng lẻ của công ty đại chúng (CTĐC) và 1</w:t>
      </w:r>
      <w:r w:rsidR="00DE2FFE">
        <w:rPr>
          <w:color w:val="000000"/>
          <w:sz w:val="28"/>
          <w:shd w:val="clear" w:color="auto" w:fill="FFFFFF"/>
        </w:rPr>
        <w:t>6</w:t>
      </w:r>
      <w:r>
        <w:rPr>
          <w:color w:val="000000"/>
          <w:sz w:val="28"/>
          <w:shd w:val="clear" w:color="auto" w:fill="FFFFFF"/>
        </w:rPr>
        <w:t>.</w:t>
      </w:r>
      <w:r w:rsidR="00DE2FFE">
        <w:rPr>
          <w:color w:val="000000"/>
          <w:sz w:val="28"/>
          <w:shd w:val="clear" w:color="auto" w:fill="FFFFFF"/>
        </w:rPr>
        <w:t>1</w:t>
      </w:r>
      <w:r>
        <w:rPr>
          <w:color w:val="000000"/>
          <w:sz w:val="28"/>
          <w:shd w:val="clear" w:color="auto" w:fill="FFFFFF"/>
        </w:rPr>
        <w:t xml:space="preserve">00 tỷ đồng trái phiếu </w:t>
      </w:r>
      <w:r w:rsidR="00DE2FFE">
        <w:rPr>
          <w:color w:val="000000"/>
          <w:sz w:val="28"/>
          <w:shd w:val="clear" w:color="auto" w:fill="FFFFFF"/>
        </w:rPr>
        <w:t xml:space="preserve">(phát hành </w:t>
      </w:r>
      <w:r>
        <w:rPr>
          <w:color w:val="000000"/>
          <w:sz w:val="28"/>
          <w:shd w:val="clear" w:color="auto" w:fill="FFFFFF"/>
        </w:rPr>
        <w:t>ra công chúng</w:t>
      </w:r>
      <w:r w:rsidR="00DE2FFE">
        <w:rPr>
          <w:color w:val="000000"/>
          <w:sz w:val="28"/>
          <w:shd w:val="clear" w:color="auto" w:fill="FFFFFF"/>
        </w:rPr>
        <w:t>, chào bán trái phiếu chuyển đổi, chào bán ra nước ngoài của CTĐC)</w:t>
      </w:r>
      <w:r>
        <w:rPr>
          <w:rStyle w:val="FootnoteReference"/>
          <w:color w:val="000000"/>
          <w:sz w:val="28"/>
          <w:shd w:val="clear" w:color="auto" w:fill="FFFFFF"/>
        </w:rPr>
        <w:footnoteReference w:id="4"/>
      </w:r>
      <w:r>
        <w:rPr>
          <w:color w:val="000000"/>
          <w:sz w:val="28"/>
          <w:shd w:val="clear" w:color="auto" w:fill="FFFFFF"/>
        </w:rPr>
        <w:t>.</w:t>
      </w:r>
    </w:p>
    <w:p w:rsidR="00613685" w:rsidRDefault="00B97CA1" w:rsidP="00EC1F66">
      <w:pPr>
        <w:widowControl w:val="0"/>
        <w:tabs>
          <w:tab w:val="left" w:pos="5835"/>
        </w:tabs>
        <w:spacing w:before="120" w:after="120"/>
        <w:ind w:firstLine="720"/>
        <w:jc w:val="both"/>
        <w:rPr>
          <w:color w:val="000000"/>
          <w:sz w:val="28"/>
          <w:szCs w:val="28"/>
        </w:rPr>
      </w:pPr>
      <w:r>
        <w:rPr>
          <w:color w:val="000000"/>
          <w:sz w:val="28"/>
          <w:szCs w:val="28"/>
        </w:rPr>
        <w:t>Ngoài ra, UBCKNN t</w:t>
      </w:r>
      <w:r w:rsidR="00613685">
        <w:rPr>
          <w:color w:val="000000"/>
          <w:sz w:val="28"/>
          <w:szCs w:val="28"/>
        </w:rPr>
        <w:t xml:space="preserve">ăng cường rà soát chặt chẽ việc phát hành của các công ty đại chúng, công ty niêm yết; triển khai kiểm tra hoạt động công ty đại chúng, tổ chức kiểm toán theo kế hoạch đã được phê duyệt; giám sát tình hình thực hiện nghĩa vụ báo cáo </w:t>
      </w:r>
      <w:r w:rsidR="00691E7F">
        <w:rPr>
          <w:color w:val="000000"/>
          <w:sz w:val="28"/>
          <w:szCs w:val="28"/>
        </w:rPr>
        <w:t>công bố thông tin</w:t>
      </w:r>
      <w:r w:rsidR="00613685">
        <w:rPr>
          <w:color w:val="000000"/>
          <w:sz w:val="28"/>
          <w:szCs w:val="28"/>
        </w:rPr>
        <w:t xml:space="preserve"> của các CTĐC, đồng thời phối hợp với các SGDCK thực hiện rà soát nghĩa vụ CTĐC.</w:t>
      </w:r>
    </w:p>
    <w:p w:rsidR="00372E6E" w:rsidRDefault="00372E6E" w:rsidP="00EC1F66">
      <w:pPr>
        <w:widowControl w:val="0"/>
        <w:tabs>
          <w:tab w:val="left" w:pos="5835"/>
        </w:tabs>
        <w:spacing w:before="120" w:after="120"/>
        <w:ind w:firstLine="720"/>
        <w:jc w:val="both"/>
        <w:rPr>
          <w:color w:val="000000"/>
          <w:sz w:val="28"/>
          <w:szCs w:val="28"/>
        </w:rPr>
      </w:pPr>
      <w:r>
        <w:rPr>
          <w:color w:val="000000"/>
          <w:sz w:val="28"/>
          <w:szCs w:val="28"/>
        </w:rPr>
        <w:t>- UBCKNN đã chỉ đạo SGDCK và Trung tâm Lưu ký chứng khoán hoàn thành xây dựng hệ thống giao dịch trái phiếu riêng lẻ, dự kiến đưa vào hoạt động vào cuối tháng 7/2023.</w:t>
      </w:r>
    </w:p>
    <w:p w:rsidR="00FA3960" w:rsidRDefault="00613685" w:rsidP="00EC1F66">
      <w:pPr>
        <w:widowControl w:val="0"/>
        <w:tabs>
          <w:tab w:val="left" w:pos="5835"/>
        </w:tabs>
        <w:spacing w:before="120" w:after="120"/>
        <w:ind w:firstLine="720"/>
        <w:jc w:val="both"/>
        <w:rPr>
          <w:rStyle w:val="dieuCharChar"/>
          <w:b w:val="0"/>
          <w:color w:val="auto"/>
          <w:spacing w:val="-4"/>
          <w:sz w:val="28"/>
          <w:lang w:val="nl-NL"/>
        </w:rPr>
      </w:pPr>
      <w:r>
        <w:rPr>
          <w:color w:val="000000"/>
          <w:sz w:val="28"/>
          <w:szCs w:val="28"/>
        </w:rPr>
        <w:t xml:space="preserve">- Về công tác thanh tra, giám sát TTCK: </w:t>
      </w:r>
      <w:r w:rsidR="00DF79F6">
        <w:rPr>
          <w:color w:val="000000"/>
          <w:sz w:val="28"/>
          <w:szCs w:val="28"/>
        </w:rPr>
        <w:t xml:space="preserve">Trong 6 tháng đầu năm 2023, UBCKNN đã triển khai 16 đoàn </w:t>
      </w:r>
      <w:r w:rsidR="004C2960">
        <w:rPr>
          <w:color w:val="000000"/>
          <w:sz w:val="28"/>
          <w:szCs w:val="28"/>
        </w:rPr>
        <w:t xml:space="preserve">thanh </w:t>
      </w:r>
      <w:r w:rsidR="00DF79F6">
        <w:rPr>
          <w:color w:val="000000"/>
          <w:sz w:val="28"/>
          <w:szCs w:val="28"/>
        </w:rPr>
        <w:t xml:space="preserve">kiểm tra, bao gồm 09 đoàn thanh kiểm tra theo kế hoạch, và 07 đoàn kiểm tra đột xuất. Trên cơ sở kết quả giám sát thường xuyên, kết quả thanh kiểm tra, UBCKNN đã ban hành 187 quyết định xử phạt với tổng số tiền phạt 18,35 tỷ đồng, trong đó xử phạt 02 trường hợp thao túng với tổng số tiền phạt 2,05 tỷ đồng; một số vụ việc xử phạt áp dụng hình thức xử phạt bổ sung, biện pháp khắc phục hậu quả: </w:t>
      </w:r>
      <w:r w:rsidR="00A15FFD" w:rsidRPr="00A15FFD">
        <w:rPr>
          <w:rStyle w:val="dieuCharChar"/>
          <w:b w:val="0"/>
          <w:color w:val="auto"/>
          <w:spacing w:val="-4"/>
          <w:sz w:val="28"/>
          <w:lang w:val="nl-NL"/>
        </w:rPr>
        <w:t>đình chỉ giao dịch chứng khoán có thời hạn đối với 09 trường hợp vi phạm quy định về giao dịch của người nội bộ và người có liên quan</w:t>
      </w:r>
      <w:r w:rsidR="00A15FFD">
        <w:rPr>
          <w:rStyle w:val="dieuCharChar"/>
          <w:b w:val="0"/>
          <w:color w:val="auto"/>
          <w:spacing w:val="-4"/>
          <w:sz w:val="28"/>
          <w:lang w:val="nl-NL"/>
        </w:rPr>
        <w:t xml:space="preserve">; </w:t>
      </w:r>
      <w:r w:rsidR="00A15FFD" w:rsidRPr="00A15FFD">
        <w:rPr>
          <w:rStyle w:val="dieuCharChar"/>
          <w:b w:val="0"/>
          <w:color w:val="auto"/>
          <w:spacing w:val="-4"/>
          <w:sz w:val="28"/>
          <w:lang w:val="nl-NL"/>
        </w:rPr>
        <w:t>áp dụng biện pháp khắc phục hậu quả là buộc cải chính, buộc hủy bỏ thông tin đối với 02 trường hợp tổ chức công bố thông tin sai lệch</w:t>
      </w:r>
      <w:r w:rsidR="00B97CA1">
        <w:rPr>
          <w:rStyle w:val="dieuCharChar"/>
          <w:b w:val="0"/>
          <w:color w:val="auto"/>
          <w:spacing w:val="-4"/>
          <w:sz w:val="28"/>
          <w:lang w:val="nl-NL"/>
        </w:rPr>
        <w:t>.</w:t>
      </w:r>
      <w:r w:rsidR="00FA3960">
        <w:rPr>
          <w:rStyle w:val="dieuCharChar"/>
          <w:b w:val="0"/>
          <w:color w:val="auto"/>
          <w:spacing w:val="-4"/>
          <w:sz w:val="28"/>
          <w:lang w:val="nl-NL"/>
        </w:rPr>
        <w:t xml:space="preserve"> Ngoài ra, UBCKNN phối hợp với cơ quan chức năng chuyển hồ sơ thao túng chứng khoán để xử lý theo quy định.</w:t>
      </w:r>
    </w:p>
    <w:p w:rsidR="00613685" w:rsidRDefault="00613685" w:rsidP="00EC1F66">
      <w:pPr>
        <w:widowControl w:val="0"/>
        <w:tabs>
          <w:tab w:val="left" w:pos="5835"/>
        </w:tabs>
        <w:spacing w:before="120" w:after="120"/>
        <w:ind w:firstLine="720"/>
        <w:jc w:val="both"/>
        <w:rPr>
          <w:color w:val="000000"/>
          <w:sz w:val="28"/>
          <w:szCs w:val="28"/>
        </w:rPr>
      </w:pPr>
      <w:r>
        <w:rPr>
          <w:color w:val="000000"/>
          <w:sz w:val="28"/>
          <w:szCs w:val="28"/>
        </w:rPr>
        <w:t xml:space="preserve">- Đẩy mạnh công tác thông tin, tuyên truyền, cung cấp thông tin chính thống, chính xác về chủ trương, định hướng điều hành và tình hình kinh tế vĩ </w:t>
      </w:r>
      <w:r>
        <w:rPr>
          <w:color w:val="000000"/>
          <w:sz w:val="28"/>
          <w:szCs w:val="28"/>
        </w:rPr>
        <w:lastRenderedPageBreak/>
        <w:t>mô, thị trường chứng khoán, an toàn hệ thống tài chính, tiền tệ để ổn định tâm lý nhà đầu tư, tăng cường minh bạch cho thị trường chứng khoán.</w:t>
      </w:r>
    </w:p>
    <w:p w:rsidR="00613685" w:rsidRDefault="00613685" w:rsidP="00EC1F66">
      <w:pPr>
        <w:widowControl w:val="0"/>
        <w:tabs>
          <w:tab w:val="left" w:pos="5835"/>
        </w:tabs>
        <w:spacing w:before="120" w:after="120"/>
        <w:ind w:firstLine="720"/>
        <w:jc w:val="both"/>
        <w:rPr>
          <w:color w:val="000000"/>
          <w:sz w:val="28"/>
          <w:szCs w:val="28"/>
        </w:rPr>
      </w:pPr>
      <w:r>
        <w:rPr>
          <w:color w:val="000000"/>
          <w:sz w:val="28"/>
          <w:szCs w:val="28"/>
        </w:rPr>
        <w:t xml:space="preserve">Kết quả tổng thể tình hình điều hành, quản lý hoạt </w:t>
      </w:r>
      <w:r w:rsidR="00A13747">
        <w:rPr>
          <w:color w:val="000000"/>
          <w:sz w:val="28"/>
          <w:szCs w:val="28"/>
        </w:rPr>
        <w:t xml:space="preserve">TTCK </w:t>
      </w:r>
      <w:r>
        <w:rPr>
          <w:color w:val="000000"/>
          <w:sz w:val="28"/>
          <w:szCs w:val="28"/>
        </w:rPr>
        <w:t xml:space="preserve">6 tháng đầu năm 2023, thị trường hoạt động ổn định, niềm tin và tâm lý nhà đầu tư được cải thiện, </w:t>
      </w:r>
      <w:bookmarkStart w:id="0" w:name="_GoBack"/>
      <w:bookmarkEnd w:id="0"/>
      <w:r>
        <w:rPr>
          <w:color w:val="000000"/>
          <w:sz w:val="28"/>
          <w:szCs w:val="28"/>
        </w:rPr>
        <w:t>dòng tiền nhà đầu tư có xu hướng trở lại thị trường.</w:t>
      </w:r>
    </w:p>
    <w:p w:rsidR="00613685" w:rsidRDefault="00613685" w:rsidP="00EC1F66">
      <w:pPr>
        <w:shd w:val="clear" w:color="auto" w:fill="FFFFFF"/>
        <w:spacing w:before="120" w:after="120"/>
        <w:ind w:firstLine="720"/>
        <w:jc w:val="both"/>
        <w:rPr>
          <w:b/>
          <w:sz w:val="28"/>
          <w:szCs w:val="28"/>
          <w:lang w:val="nl-NL"/>
        </w:rPr>
      </w:pPr>
      <w:r>
        <w:rPr>
          <w:b/>
          <w:sz w:val="28"/>
          <w:szCs w:val="28"/>
          <w:lang w:val="nl-NL"/>
        </w:rPr>
        <w:t>II. Triển vọng TTCK Việt Nam trong thời gian tới</w:t>
      </w:r>
    </w:p>
    <w:p w:rsidR="00613685" w:rsidRDefault="00613685" w:rsidP="00EC1F66">
      <w:pPr>
        <w:widowControl w:val="0"/>
        <w:spacing w:before="120" w:after="120"/>
        <w:ind w:firstLine="720"/>
        <w:jc w:val="both"/>
        <w:rPr>
          <w:sz w:val="28"/>
          <w:szCs w:val="28"/>
          <w:lang w:val="nl-NL"/>
        </w:rPr>
      </w:pPr>
      <w:r>
        <w:rPr>
          <w:sz w:val="28"/>
          <w:szCs w:val="28"/>
          <w:lang w:val="nl-NL"/>
        </w:rPr>
        <w:t xml:space="preserve">Diễn biến tình hình trên TTCK trong thời gian tới phụ thuộc phần lớn vào các chính sách kinh tế vĩ mô và triển vọng kinh tế trong nước cũng như thế giới. Trước tình hình </w:t>
      </w:r>
      <w:r>
        <w:rPr>
          <w:rFonts w:eastAsia="Arial"/>
          <w:spacing w:val="-4"/>
          <w:sz w:val="28"/>
          <w:szCs w:val="28"/>
          <w:lang w:val="nl-NL"/>
        </w:rPr>
        <w:t>lạm phát bắt đầu có xu hướng giảm ở một số nền kinh tế như Mỹ và EU</w:t>
      </w:r>
      <w:r>
        <w:rPr>
          <w:rStyle w:val="FootnoteReference"/>
          <w:rFonts w:eastAsia="Arial"/>
          <w:spacing w:val="-4"/>
          <w:sz w:val="28"/>
          <w:szCs w:val="28"/>
          <w:lang w:val="nl-NL"/>
        </w:rPr>
        <w:footnoteReference w:id="5"/>
      </w:r>
      <w:r>
        <w:rPr>
          <w:rFonts w:eastAsia="Arial"/>
          <w:spacing w:val="-4"/>
          <w:sz w:val="28"/>
          <w:szCs w:val="28"/>
          <w:lang w:val="nl-NL"/>
        </w:rPr>
        <w:t xml:space="preserve">, lộ trình tăng lãi suất của ngân hàng trung ương một số nước cho dù vẫn tiếp tục nhưng có xu hướng chậm lại, với mức tăng nhỏ hơn. </w:t>
      </w:r>
      <w:r>
        <w:rPr>
          <w:sz w:val="28"/>
          <w:szCs w:val="28"/>
          <w:lang w:val="nl-NL"/>
        </w:rPr>
        <w:t xml:space="preserve">Đây là các tín hiệu tích cực cho nền kinh tế Việt Nam nói chung và TTCK nói riêng. Những nỗ lực của Chính phủ trong việc tháo gỡ khó khăn cho thị trường bất động sản, thị trường </w:t>
      </w:r>
      <w:r w:rsidR="004E7403">
        <w:rPr>
          <w:sz w:val="28"/>
          <w:szCs w:val="28"/>
          <w:lang w:val="nl-NL"/>
        </w:rPr>
        <w:t>trái phiếu doanh nghiệp</w:t>
      </w:r>
      <w:r>
        <w:rPr>
          <w:sz w:val="28"/>
          <w:szCs w:val="28"/>
          <w:lang w:val="nl-NL"/>
        </w:rPr>
        <w:t>, đẩy mạnh giải ngân vốn đầu tư công, giải ngân gói nhà ở xã hội cũng được kỳ vọng sẽ đem lại những tác động tích cực cho nền kinh tế Việt Nam, kích thích các hoạt động sản xuất, kinh doanh trong nước. Ngoài ra, dịch bệnh tiếp tục được kiểm soát tốt, các yếu tố nền tảng vĩ mô và cân đối lớn cơ bản được giữ vững, trong tầm kiểm soát, các hoạt động kinh tế, tiêu dùng nội địa và du lịch quốc tế được khôi phục. Đây là yếu tố ảnh hưởng tích cực tới thanh khoản trên TTCK trong Quý III và Quý IV/2023.</w:t>
      </w:r>
    </w:p>
    <w:p w:rsidR="00613685" w:rsidRDefault="00613685" w:rsidP="00EC1F66">
      <w:pPr>
        <w:shd w:val="clear" w:color="auto" w:fill="FFFFFF"/>
        <w:spacing w:before="120" w:after="120"/>
        <w:ind w:firstLine="720"/>
        <w:jc w:val="both"/>
        <w:rPr>
          <w:rFonts w:eastAsia="Arial"/>
          <w:sz w:val="28"/>
          <w:szCs w:val="28"/>
          <w:lang w:val="nl-NL"/>
        </w:rPr>
      </w:pPr>
      <w:r>
        <w:rPr>
          <w:sz w:val="28"/>
          <w:szCs w:val="28"/>
          <w:lang w:val="nl-NL"/>
        </w:rPr>
        <w:t xml:space="preserve">Tuy nhiên, </w:t>
      </w:r>
      <w:r>
        <w:rPr>
          <w:rFonts w:eastAsia="Arial"/>
          <w:sz w:val="28"/>
          <w:szCs w:val="28"/>
          <w:lang w:val="nl-NL"/>
        </w:rPr>
        <w:t xml:space="preserve">kinh tế Việt Nam nói chung và TTCK nói riêng trong </w:t>
      </w:r>
      <w:r w:rsidR="00210974">
        <w:rPr>
          <w:rFonts w:eastAsia="Arial"/>
          <w:sz w:val="28"/>
          <w:szCs w:val="28"/>
          <w:lang w:val="nl-NL"/>
        </w:rPr>
        <w:t>thời gian tới</w:t>
      </w:r>
      <w:r>
        <w:rPr>
          <w:rFonts w:eastAsia="Arial"/>
          <w:sz w:val="28"/>
          <w:szCs w:val="28"/>
          <w:lang w:val="nl-NL"/>
        </w:rPr>
        <w:t xml:space="preserve"> vẫn phải đối mặt với nhiều khó khăn, thách thức</w:t>
      </w:r>
      <w:r w:rsidR="001875D2">
        <w:rPr>
          <w:rFonts w:eastAsia="Arial"/>
          <w:sz w:val="28"/>
          <w:szCs w:val="28"/>
          <w:lang w:val="nl-NL"/>
        </w:rPr>
        <w:t xml:space="preserve"> trong bối cảnh môi trường quốc tế được dự báo </w:t>
      </w:r>
      <w:r w:rsidR="001951C0">
        <w:rPr>
          <w:rFonts w:eastAsia="Arial"/>
          <w:sz w:val="28"/>
          <w:szCs w:val="28"/>
          <w:lang w:val="nl-NL"/>
        </w:rPr>
        <w:t>tiếp tục biến động phức tạp, khó lường dưới tác động của các chính sách tiền tệ thất chặt, sụt giảm cầu tiêu dùng tại các đối tác thương mại lớn của Việt Nam,</w:t>
      </w:r>
      <w:r>
        <w:rPr>
          <w:rFonts w:eastAsia="Arial"/>
          <w:sz w:val="28"/>
          <w:szCs w:val="28"/>
          <w:lang w:val="nl-NL"/>
        </w:rPr>
        <w:t xml:space="preserve"> bất ổn địa chính trị</w:t>
      </w:r>
      <w:r w:rsidR="001951C0">
        <w:rPr>
          <w:rFonts w:eastAsia="Arial"/>
          <w:sz w:val="28"/>
          <w:szCs w:val="28"/>
          <w:lang w:val="nl-NL"/>
        </w:rPr>
        <w:t xml:space="preserve"> tiếp tục kéo dài...</w:t>
      </w:r>
    </w:p>
    <w:p w:rsidR="00613685" w:rsidRDefault="00613685" w:rsidP="00EC1F66">
      <w:pPr>
        <w:shd w:val="clear" w:color="auto" w:fill="FFFFFF"/>
        <w:spacing w:before="120" w:after="120"/>
        <w:ind w:firstLine="720"/>
        <w:jc w:val="both"/>
        <w:rPr>
          <w:b/>
          <w:sz w:val="28"/>
          <w:szCs w:val="28"/>
          <w:lang w:val="nl-NL"/>
        </w:rPr>
      </w:pPr>
      <w:r>
        <w:rPr>
          <w:b/>
          <w:sz w:val="28"/>
          <w:szCs w:val="28"/>
          <w:lang w:val="nl-NL"/>
        </w:rPr>
        <w:t xml:space="preserve">III. Các giải pháp điều hành TTCK </w:t>
      </w:r>
      <w:r w:rsidR="00A13747">
        <w:rPr>
          <w:b/>
          <w:sz w:val="28"/>
          <w:szCs w:val="28"/>
          <w:lang w:val="nl-NL"/>
        </w:rPr>
        <w:t>trong 6 tháng cuối năm 2023</w:t>
      </w:r>
    </w:p>
    <w:p w:rsidR="00613685" w:rsidRPr="00D07990" w:rsidRDefault="00613685" w:rsidP="00EC1F66">
      <w:pPr>
        <w:widowControl w:val="0"/>
        <w:spacing w:before="120" w:after="120"/>
        <w:ind w:firstLine="720"/>
        <w:jc w:val="both"/>
        <w:rPr>
          <w:b/>
          <w:sz w:val="28"/>
          <w:szCs w:val="28"/>
          <w:lang w:val="nl-NL"/>
        </w:rPr>
      </w:pPr>
      <w:r w:rsidRPr="00D07990">
        <w:rPr>
          <w:rFonts w:eastAsia="Arial"/>
          <w:sz w:val="28"/>
          <w:szCs w:val="28"/>
          <w:lang w:val="nl-NL"/>
        </w:rPr>
        <w:t xml:space="preserve">Với vai trò là cơ quan trực tiếp quản lý, giám sát TTCK, nhiệm vụ cốt lõi của UBCKNN là </w:t>
      </w:r>
      <w:r w:rsidRPr="00D07990">
        <w:rPr>
          <w:sz w:val="28"/>
          <w:szCs w:val="28"/>
        </w:rPr>
        <w:t xml:space="preserve">đảm bảo sự vận hành liên tục, thông suốt, ổn định, minh bạch của TTCK. Theo đó, nhằm thực hiện nhiệm vụ nêu trên, đồng thời thúc đẩy thị trường phát triển theo hướng bền vững, </w:t>
      </w:r>
      <w:r w:rsidRPr="00D07990">
        <w:rPr>
          <w:sz w:val="28"/>
          <w:szCs w:val="28"/>
          <w:lang w:val="nl-NL"/>
        </w:rPr>
        <w:t>an toàn, minh bạch, bảo vệ quyền và lợi ích hợp pháp của nhà đầu tư, UBCKNN đang và sẽ tiếp tục triển khai đồng bộ các giải pháp sau đây:</w:t>
      </w:r>
    </w:p>
    <w:p w:rsidR="00613685" w:rsidRPr="00D07990" w:rsidRDefault="00613685" w:rsidP="00EC1F66">
      <w:pPr>
        <w:spacing w:before="120" w:after="120"/>
        <w:ind w:firstLine="720"/>
        <w:jc w:val="both"/>
        <w:rPr>
          <w:sz w:val="28"/>
          <w:szCs w:val="28"/>
          <w:lang w:val="nl-NL"/>
        </w:rPr>
      </w:pPr>
      <w:r w:rsidRPr="00D07990">
        <w:rPr>
          <w:i/>
          <w:sz w:val="28"/>
          <w:szCs w:val="28"/>
          <w:lang w:val="nl-NL"/>
        </w:rPr>
        <w:t>Thứ nhất,</w:t>
      </w:r>
      <w:r w:rsidRPr="00D07990">
        <w:rPr>
          <w:sz w:val="28"/>
          <w:szCs w:val="28"/>
          <w:lang w:val="nl-NL"/>
        </w:rPr>
        <w:t xml:space="preserve"> </w:t>
      </w:r>
      <w:r w:rsidRPr="00D07990">
        <w:rPr>
          <w:i/>
          <w:sz w:val="28"/>
          <w:szCs w:val="28"/>
          <w:lang w:val="nl-NL"/>
        </w:rPr>
        <w:t>về hoàn thiện khung pháp lý và thể chế,</w:t>
      </w:r>
      <w:r w:rsidRPr="00D07990">
        <w:rPr>
          <w:sz w:val="28"/>
          <w:szCs w:val="28"/>
          <w:lang w:val="nl-NL"/>
        </w:rPr>
        <w:t xml:space="preserve"> UBCKNN triển khai công tác xây dựng cơ chế chính sách TTCK, báo cáo xem xét sửa đổi Nghị định 155/2020/NĐ-CP và các văn bản hướng dẫn Nghị định; trình các cấp có thẩm quyền phê duyệt chiến lược TTCK đến năm 2030. </w:t>
      </w:r>
    </w:p>
    <w:p w:rsidR="00613685" w:rsidRPr="00D07990" w:rsidRDefault="00613685" w:rsidP="00EC1F66">
      <w:pPr>
        <w:spacing w:before="120" w:after="120"/>
        <w:ind w:firstLine="720"/>
        <w:jc w:val="both"/>
        <w:rPr>
          <w:sz w:val="28"/>
          <w:szCs w:val="28"/>
          <w:lang w:val="nl-NL"/>
        </w:rPr>
      </w:pPr>
      <w:r w:rsidRPr="00D07990">
        <w:rPr>
          <w:i/>
          <w:sz w:val="28"/>
          <w:szCs w:val="28"/>
          <w:lang w:val="nl-NL"/>
        </w:rPr>
        <w:t xml:space="preserve">Thứ hai, về hoạt động tổ chức thị trường, </w:t>
      </w:r>
      <w:r w:rsidR="002E013B">
        <w:rPr>
          <w:sz w:val="28"/>
          <w:szCs w:val="28"/>
          <w:lang w:val="nl-NL"/>
        </w:rPr>
        <w:t>tổ chức thị trường</w:t>
      </w:r>
      <w:r w:rsidRPr="00D07990">
        <w:rPr>
          <w:sz w:val="28"/>
          <w:szCs w:val="28"/>
          <w:lang w:val="nl-NL"/>
        </w:rPr>
        <w:t xml:space="preserve"> giao dịch TPDN riêng lẻ theo quy định tại Nghị định 65/2022/NĐ-CP của Chính phủ, </w:t>
      </w:r>
      <w:r w:rsidRPr="00D07990">
        <w:rPr>
          <w:sz w:val="28"/>
          <w:szCs w:val="28"/>
          <w:lang w:val="nl-NL"/>
        </w:rPr>
        <w:lastRenderedPageBreak/>
        <w:t>nhằm phát triển một thị trường thứ cấp minh bạch, an toàn, tăng cường khả năng quản lý, giám sát, giảm thiểu rủi ro.</w:t>
      </w:r>
    </w:p>
    <w:p w:rsidR="00613685" w:rsidRPr="00D07990" w:rsidRDefault="00613685" w:rsidP="00EC1F66">
      <w:pPr>
        <w:widowControl w:val="0"/>
        <w:spacing w:before="120" w:after="120"/>
        <w:ind w:firstLine="720"/>
        <w:jc w:val="both"/>
        <w:rPr>
          <w:sz w:val="28"/>
          <w:szCs w:val="28"/>
          <w:lang w:val="nl-NL"/>
        </w:rPr>
      </w:pPr>
      <w:r w:rsidRPr="00D07990">
        <w:rPr>
          <w:i/>
          <w:sz w:val="28"/>
          <w:szCs w:val="28"/>
          <w:lang w:val="nl-NL"/>
        </w:rPr>
        <w:t xml:space="preserve">Thứ ba, về công tác giám sát, thanh tra trên TTCK, </w:t>
      </w:r>
      <w:r w:rsidRPr="00D07990">
        <w:rPr>
          <w:sz w:val="28"/>
          <w:szCs w:val="28"/>
          <w:lang w:val="nl-NL"/>
        </w:rPr>
        <w:t>nâng cao vai trò và trách nhiệm của các tuyến giám sát, trong đó phát huy vai trò của tuyến giám sát thứ nhất là các công ty chứng khoán, tăng cường giám sát các công ty chứng khoán thực hiện đúng và đầy đủ vai trò là chủ thể giám sát tuyến đầu theo quy định tại Luật Chứng khoán 2019 và các văn bản hướng dẫn để kịp thời ngăn ngừa và phát hiện sớm các vi phạm trên thị trường, đẩy mạnh công tác kiểm tra, thanh tra, đồng thời xử lý nghiêm các hành vi vi phạm trên TTCK nhằm tăng tính răn đe, tăng cường kỷ cương, kỷ luật trên thị trường, hướng đến sự phát triển TTCK theo hướng minh bạch và bền vững, nâng cao chất lượng nguồn nhân lực cho công tác thanh tra, giám sát; hoàn thiện và đưa vào sử dụng Hệ thống CNTT phục vụ thanh tra, giám sát.</w:t>
      </w:r>
    </w:p>
    <w:p w:rsidR="00613685" w:rsidRPr="00D07990" w:rsidRDefault="00613685" w:rsidP="00EC1F66">
      <w:pPr>
        <w:spacing w:before="120" w:after="120"/>
        <w:ind w:firstLine="720"/>
        <w:jc w:val="both"/>
        <w:outlineLvl w:val="0"/>
        <w:rPr>
          <w:sz w:val="28"/>
          <w:szCs w:val="28"/>
          <w:lang w:val="nl-NL"/>
        </w:rPr>
      </w:pPr>
      <w:r w:rsidRPr="00D07990">
        <w:rPr>
          <w:i/>
          <w:sz w:val="28"/>
          <w:szCs w:val="28"/>
          <w:lang w:val="nl-NL"/>
        </w:rPr>
        <w:t xml:space="preserve">Thứ tư, về công tác truyền thông, </w:t>
      </w:r>
      <w:r w:rsidRPr="00D07990">
        <w:rPr>
          <w:sz w:val="28"/>
          <w:szCs w:val="28"/>
          <w:lang w:val="nl-NL"/>
        </w:rPr>
        <w:t xml:space="preserve">duy trì thường xuyên việc cung cấp thông tin đầy đủ, chính xác và kịp thời tới công chúng đầu tư, giúp các doanh nghiệp, nhà đầu tư tiếp cận nhanh và đầy đủ nguồn thông tin chính thống, hạn chế sự tác động về tâm lý do tin đồn, tin giả mạo trên thị trường. </w:t>
      </w:r>
    </w:p>
    <w:p w:rsidR="00613685" w:rsidRDefault="00613685" w:rsidP="00EC1F66">
      <w:pPr>
        <w:spacing w:before="120" w:after="120"/>
        <w:ind w:firstLine="720"/>
        <w:jc w:val="both"/>
        <w:outlineLvl w:val="0"/>
      </w:pPr>
      <w:r w:rsidRPr="00D07990">
        <w:rPr>
          <w:i/>
          <w:sz w:val="28"/>
          <w:szCs w:val="28"/>
          <w:lang w:val="nl-NL"/>
        </w:rPr>
        <w:t xml:space="preserve">Thứ năm, </w:t>
      </w:r>
      <w:r w:rsidRPr="00D07990">
        <w:rPr>
          <w:sz w:val="28"/>
          <w:szCs w:val="28"/>
          <w:lang w:val="nl-NL"/>
        </w:rPr>
        <w:t>UBCKNN sẽ tích cực phối hợp với các tổ chức quốc tế triển khai các giải pháp để sớm nâng hạng TTCK Việt Nam theo lộ trình đã đặt ra nhằm thu hút sự tham gia của NĐTNN tại thị trường Việt Nam./.</w:t>
      </w:r>
    </w:p>
    <w:p w:rsidR="00EF0EBA" w:rsidRDefault="00EF0EBA">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rsidR="00207528" w:rsidRDefault="00EF0EBA">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Pr="00522811">
        <w:rPr>
          <w:b/>
          <w:sz w:val="26"/>
          <w:szCs w:val="26"/>
        </w:rPr>
        <w:t>BỘ TÀI CHÍNH</w:t>
      </w:r>
    </w:p>
    <w:sectPr w:rsidR="00207528" w:rsidSect="005617F8">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73D" w:rsidRDefault="008B073D" w:rsidP="00B543D1">
      <w:r>
        <w:separator/>
      </w:r>
    </w:p>
  </w:endnote>
  <w:endnote w:type="continuationSeparator" w:id="0">
    <w:p w:rsidR="008B073D" w:rsidRDefault="008B073D" w:rsidP="00B543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73D" w:rsidRDefault="008B073D" w:rsidP="00B543D1">
      <w:r>
        <w:separator/>
      </w:r>
    </w:p>
  </w:footnote>
  <w:footnote w:type="continuationSeparator" w:id="0">
    <w:p w:rsidR="008B073D" w:rsidRDefault="008B073D" w:rsidP="00B543D1">
      <w:r>
        <w:continuationSeparator/>
      </w:r>
    </w:p>
  </w:footnote>
  <w:footnote w:id="1">
    <w:p w:rsidR="00DF79F6" w:rsidRPr="00B543D1" w:rsidRDefault="00DF79F6" w:rsidP="00B543D1">
      <w:pPr>
        <w:pStyle w:val="FootnoteText"/>
        <w:jc w:val="both"/>
        <w:rPr>
          <w:rFonts w:ascii="Times New Roman" w:hAnsi="Times New Roman" w:cs="Times New Roman"/>
          <w:sz w:val="12"/>
          <w:szCs w:val="20"/>
        </w:rPr>
      </w:pPr>
      <w:r w:rsidRPr="00B543D1">
        <w:rPr>
          <w:rStyle w:val="FootnoteReference"/>
          <w:rFonts w:ascii="Times New Roman" w:hAnsi="Times New Roman" w:cs="Times New Roman"/>
          <w:sz w:val="20"/>
        </w:rPr>
        <w:footnoteRef/>
      </w:r>
      <w:r w:rsidRPr="00B543D1">
        <w:rPr>
          <w:rFonts w:ascii="Times New Roman" w:hAnsi="Times New Roman" w:cs="Times New Roman"/>
          <w:sz w:val="20"/>
        </w:rPr>
        <w:t xml:space="preserve"> </w:t>
      </w:r>
      <w:r w:rsidRPr="00B543D1">
        <w:rPr>
          <w:rFonts w:ascii="Times New Roman" w:eastAsia="Arial" w:hAnsi="Times New Roman" w:cs="Times New Roman"/>
          <w:sz w:val="20"/>
          <w:szCs w:val="28"/>
        </w:rPr>
        <w:t xml:space="preserve">Trong năm 2022, </w:t>
      </w:r>
      <w:r w:rsidRPr="00B543D1">
        <w:rPr>
          <w:rFonts w:ascii="Times New Roman" w:eastAsia="Arial" w:hAnsi="Times New Roman" w:cs="Times New Roman"/>
          <w:sz w:val="20"/>
          <w:szCs w:val="28"/>
          <w:lang w:val="nl-NL"/>
        </w:rPr>
        <w:t>Cục Dữ trữ Liên bang Mỹ (FED) đã tăng lãi suất điều hành</w:t>
      </w:r>
      <w:r w:rsidRPr="00B543D1">
        <w:rPr>
          <w:rFonts w:ascii="Times New Roman" w:eastAsia="Arial" w:hAnsi="Times New Roman" w:cs="Times New Roman"/>
          <w:sz w:val="20"/>
          <w:szCs w:val="28"/>
        </w:rPr>
        <w:t xml:space="preserve"> thêm 4,25 điểm % qua 7 lần điều chỉnh liên tiếp</w:t>
      </w:r>
      <w:r w:rsidRPr="00B543D1">
        <w:rPr>
          <w:rFonts w:ascii="Times New Roman" w:eastAsia="Arial" w:hAnsi="Times New Roman" w:cs="Times New Roman"/>
          <w:sz w:val="20"/>
          <w:szCs w:val="28"/>
          <w:lang w:val="nl-NL"/>
        </w:rPr>
        <w:t xml:space="preserve">. Trong 5 tháng đầu năm 2023, FED tiếp tục điều chỉnh lãi suất thêm 3 lần trong tháng 02 và tháng 3 và tháng 5/2023, mỗi lần tăng thêm 0,25 điểm %, đưa lãi suất điều hành của Mỹ lên mức cao nhất trong vòng 15 năm qua. Ngày 14/6/2023, Fed quyết định giữ nguyên lãi suất ở mức 5,0-5,25% trong kỳ điều chỉnh tháng 6/2023. Tương tự, Ngân hàng Trung ương Anh điều chỉnh mức lãi suất lần </w:t>
      </w:r>
      <w:r>
        <w:rPr>
          <w:rFonts w:ascii="Times New Roman" w:eastAsia="Arial" w:hAnsi="Times New Roman" w:cs="Times New Roman"/>
          <w:sz w:val="20"/>
          <w:szCs w:val="28"/>
          <w:lang w:val="nl-NL"/>
        </w:rPr>
        <w:t>4</w:t>
      </w:r>
      <w:r w:rsidRPr="00B543D1">
        <w:rPr>
          <w:rFonts w:ascii="Times New Roman" w:eastAsia="Arial" w:hAnsi="Times New Roman" w:cs="Times New Roman"/>
          <w:sz w:val="20"/>
          <w:szCs w:val="28"/>
          <w:lang w:val="nl-NL"/>
        </w:rPr>
        <w:t xml:space="preserve"> trong năm vào ngày </w:t>
      </w:r>
      <w:r>
        <w:rPr>
          <w:rFonts w:ascii="Times New Roman" w:eastAsia="Arial" w:hAnsi="Times New Roman" w:cs="Times New Roman"/>
          <w:sz w:val="20"/>
          <w:szCs w:val="28"/>
          <w:lang w:val="nl-NL"/>
        </w:rPr>
        <w:t>22/6</w:t>
      </w:r>
      <w:r w:rsidRPr="00B543D1">
        <w:rPr>
          <w:rFonts w:ascii="Times New Roman" w:eastAsia="Arial" w:hAnsi="Times New Roman" w:cs="Times New Roman"/>
          <w:sz w:val="20"/>
          <w:szCs w:val="28"/>
          <w:lang w:val="nl-NL"/>
        </w:rPr>
        <w:t>/2023 thêm 0.5 điểm phần trăm, đưa lãi suất điều hành lên mức 5%. Ngân hàng Trung ương châu Âu (ECB) cũng đã điều chỉnh tăng mức lãi suất lần 4 tăng 0,25 điểm phần trăm vào ngày 15/6/2023 lên mức cao nhất kể từ năm 2001.</w:t>
      </w:r>
    </w:p>
  </w:footnote>
  <w:footnote w:id="2">
    <w:p w:rsidR="00DF79F6" w:rsidRDefault="00DF79F6" w:rsidP="00B543D1">
      <w:pPr>
        <w:pStyle w:val="FootnoteText"/>
        <w:rPr>
          <w:sz w:val="20"/>
        </w:rPr>
      </w:pPr>
      <w:r w:rsidRPr="00B543D1">
        <w:rPr>
          <w:rStyle w:val="FootnoteReference"/>
          <w:rFonts w:ascii="Times New Roman" w:hAnsi="Times New Roman" w:cs="Times New Roman"/>
          <w:sz w:val="20"/>
        </w:rPr>
        <w:footnoteRef/>
      </w:r>
      <w:r w:rsidRPr="00B543D1">
        <w:rPr>
          <w:rFonts w:ascii="Times New Roman" w:hAnsi="Times New Roman" w:cs="Times New Roman"/>
          <w:sz w:val="20"/>
        </w:rPr>
        <w:t xml:space="preserve"> Dựa trên tính toán của Bloomberg từ dữ liệu trong báo cáo Triển vọng Kinh tế Thế giới của IMF được công bố vào tháng 4/2023, tỷ lệ mở rộng tổng sản phẩm quốc nội toàn cầu của Trung Quốc sẽ ở mức 22,6%, của Ấn Độ sẽ là 12,9% và của Mỹ sẽ tăng thêm 11,3%.</w:t>
      </w:r>
    </w:p>
  </w:footnote>
  <w:footnote w:id="3">
    <w:p w:rsidR="00DF79F6" w:rsidRPr="00B543D1" w:rsidRDefault="00DF79F6" w:rsidP="00B543D1">
      <w:pPr>
        <w:pStyle w:val="FootnoteText"/>
        <w:jc w:val="both"/>
        <w:rPr>
          <w:rFonts w:ascii="Times New Roman" w:hAnsi="Times New Roman" w:cs="Times New Roman"/>
          <w:sz w:val="20"/>
        </w:rPr>
      </w:pPr>
      <w:r w:rsidRPr="00B543D1">
        <w:rPr>
          <w:rStyle w:val="FootnoteReference"/>
          <w:rFonts w:ascii="Times New Roman" w:hAnsi="Times New Roman" w:cs="Times New Roman"/>
          <w:sz w:val="20"/>
        </w:rPr>
        <w:footnoteRef/>
      </w:r>
      <w:r w:rsidRPr="00B543D1">
        <w:rPr>
          <w:rFonts w:ascii="Times New Roman" w:hAnsi="Times New Roman" w:cs="Times New Roman"/>
          <w:sz w:val="20"/>
        </w:rPr>
        <w:t xml:space="preserve"> Lãi suất tối đa áp dụng đối với tiền gửi không kỳ hạn và có kỳ hạn dưới 1 tháng giữ nguyên ở mức 0,5%/năm; lãi suất tối đa áp dụng đối với tiền gửi có kỳ hạn từ 1 tháng đến dưới 6 tháng giảm từ 5,0%/năm xuống 4,75%/năm, riêng lãi suất tối đa đối với tiền gửi bằng VND tại Quỹ tín dụng nhân dân, Tổ chức tài chính vi mô giảm từ 5,5%/năm xuống 5,25%/năm; lãi suất tiền gửi có kỳ hạn từ 6 tháng trở lên do TCTD ấn định trên cơ sở cung - cầu vốn thị trường. Lãi suất tái cấp vốn giảm từ mức 5,0%/năm xuống 4,5%/năm; lãi suất tái chiết khấu giảm từ mức 3,5%/năm xuống 3,0%/năm.</w:t>
      </w:r>
    </w:p>
  </w:footnote>
  <w:footnote w:id="4">
    <w:p w:rsidR="00B97CA1" w:rsidRPr="005617F8" w:rsidRDefault="00B97CA1" w:rsidP="00B97CA1">
      <w:pPr>
        <w:pStyle w:val="FootnoteText"/>
        <w:jc w:val="both"/>
      </w:pPr>
      <w:r w:rsidRPr="005617F8">
        <w:rPr>
          <w:rStyle w:val="FootnoteReference"/>
          <w:rFonts w:ascii="Times New Roman" w:hAnsi="Times New Roman" w:cs="Times New Roman"/>
          <w:sz w:val="20"/>
          <w:szCs w:val="20"/>
        </w:rPr>
        <w:footnoteRef/>
      </w:r>
      <w:r w:rsidRPr="005617F8">
        <w:rPr>
          <w:rFonts w:ascii="Times New Roman" w:hAnsi="Times New Roman" w:cs="Times New Roman"/>
          <w:sz w:val="20"/>
          <w:szCs w:val="20"/>
        </w:rPr>
        <w:t xml:space="preserve"> Số liệu không bao gồm các đợt chào bán của CTCK, công ty QLQ</w:t>
      </w:r>
      <w:r w:rsidR="00DE2FFE">
        <w:rPr>
          <w:rFonts w:ascii="Times New Roman" w:hAnsi="Times New Roman" w:cs="Times New Roman"/>
          <w:sz w:val="20"/>
          <w:szCs w:val="20"/>
        </w:rPr>
        <w:t>,</w:t>
      </w:r>
      <w:r w:rsidRPr="005617F8">
        <w:rPr>
          <w:rFonts w:ascii="Times New Roman" w:hAnsi="Times New Roman" w:cs="Times New Roman"/>
          <w:sz w:val="20"/>
          <w:szCs w:val="20"/>
        </w:rPr>
        <w:t xml:space="preserve"> Công ty đầu tư chứng khoán và quỹ đầu tư chứng khoán.</w:t>
      </w:r>
    </w:p>
  </w:footnote>
  <w:footnote w:id="5">
    <w:p w:rsidR="00DF79F6" w:rsidRPr="00D07990" w:rsidRDefault="00DF79F6" w:rsidP="00613685">
      <w:pPr>
        <w:pStyle w:val="FootnoteText"/>
        <w:jc w:val="both"/>
        <w:rPr>
          <w:rFonts w:ascii="Times New Roman" w:hAnsi="Times New Roman" w:cs="Times New Roman"/>
        </w:rPr>
      </w:pPr>
      <w:r w:rsidRPr="00D07990">
        <w:rPr>
          <w:rStyle w:val="FootnoteReference"/>
          <w:rFonts w:ascii="Times New Roman" w:hAnsi="Times New Roman" w:cs="Times New Roman"/>
          <w:sz w:val="20"/>
        </w:rPr>
        <w:footnoteRef/>
      </w:r>
      <w:r w:rsidRPr="00D07990">
        <w:rPr>
          <w:rFonts w:ascii="Times New Roman" w:hAnsi="Times New Roman" w:cs="Times New Roman"/>
          <w:sz w:val="12"/>
        </w:rPr>
        <w:t xml:space="preserve"> </w:t>
      </w:r>
      <w:r w:rsidRPr="00D07990">
        <w:rPr>
          <w:rFonts w:ascii="Times New Roman" w:eastAsia="Arial" w:hAnsi="Times New Roman" w:cs="Times New Roman"/>
          <w:spacing w:val="-4"/>
          <w:sz w:val="20"/>
          <w:szCs w:val="28"/>
          <w:lang w:val="nl-NL"/>
        </w:rPr>
        <w:t xml:space="preserve">Lạm phát tại Mỹ đã giảm </w:t>
      </w:r>
      <w:r>
        <w:rPr>
          <w:rFonts w:ascii="Times New Roman" w:eastAsia="Arial" w:hAnsi="Times New Roman" w:cs="Times New Roman"/>
          <w:spacing w:val="-4"/>
          <w:sz w:val="20"/>
          <w:szCs w:val="28"/>
          <w:lang w:val="nl-NL"/>
        </w:rPr>
        <w:t>11</w:t>
      </w:r>
      <w:r w:rsidRPr="00D07990">
        <w:rPr>
          <w:rFonts w:ascii="Times New Roman" w:eastAsia="Arial" w:hAnsi="Times New Roman" w:cs="Times New Roman"/>
          <w:spacing w:val="-4"/>
          <w:sz w:val="20"/>
          <w:szCs w:val="28"/>
          <w:lang w:val="nl-NL"/>
        </w:rPr>
        <w:t xml:space="preserve"> tháng liên tiếp, xuống mức 4% trong tháng </w:t>
      </w:r>
      <w:r>
        <w:rPr>
          <w:rFonts w:ascii="Times New Roman" w:eastAsia="Arial" w:hAnsi="Times New Roman" w:cs="Times New Roman"/>
          <w:spacing w:val="-4"/>
          <w:sz w:val="20"/>
          <w:szCs w:val="28"/>
          <w:lang w:val="nl-NL"/>
        </w:rPr>
        <w:t>5</w:t>
      </w:r>
      <w:r w:rsidRPr="00D07990">
        <w:rPr>
          <w:rFonts w:ascii="Times New Roman" w:eastAsia="Arial" w:hAnsi="Times New Roman" w:cs="Times New Roman"/>
          <w:spacing w:val="-4"/>
          <w:sz w:val="20"/>
          <w:szCs w:val="28"/>
          <w:lang w:val="nl-NL"/>
        </w:rPr>
        <w:t>/2023, mức thấp nhất kể từ tháng 5/2021. Tại khu vực đồng tiền chung châu Âu</w:t>
      </w:r>
      <w:r>
        <w:rPr>
          <w:rFonts w:ascii="Times New Roman" w:eastAsia="Arial" w:hAnsi="Times New Roman" w:cs="Times New Roman"/>
          <w:spacing w:val="-4"/>
          <w:sz w:val="20"/>
          <w:szCs w:val="28"/>
          <w:lang w:val="nl-NL"/>
        </w:rPr>
        <w:t>, lạm phát cũng đã giảm xuống còn 6,1% trong tháng 5/2023 và được dự báo xuống còn 5,5% trong tháng 6/2023</w:t>
      </w:r>
      <w:r w:rsidRPr="00D07990">
        <w:rPr>
          <w:rFonts w:ascii="Times New Roman" w:eastAsia="Arial" w:hAnsi="Times New Roman" w:cs="Times New Roman"/>
          <w:spacing w:val="-4"/>
          <w:sz w:val="20"/>
          <w:szCs w:val="28"/>
          <w:lang w:val="nl-N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89946"/>
      <w:docPartObj>
        <w:docPartGallery w:val="Page Numbers (Top of Page)"/>
        <w:docPartUnique/>
      </w:docPartObj>
    </w:sdtPr>
    <w:sdtEndPr>
      <w:rPr>
        <w:noProof/>
      </w:rPr>
    </w:sdtEndPr>
    <w:sdtContent>
      <w:p w:rsidR="00DF79F6" w:rsidRDefault="00B2180F">
        <w:pPr>
          <w:pStyle w:val="Header"/>
          <w:jc w:val="center"/>
        </w:pPr>
        <w:r>
          <w:fldChar w:fldCharType="begin"/>
        </w:r>
        <w:r w:rsidR="00DF79F6">
          <w:instrText xml:space="preserve"> PAGE   \* MERGEFORMAT </w:instrText>
        </w:r>
        <w:r>
          <w:fldChar w:fldCharType="separate"/>
        </w:r>
        <w:r w:rsidR="00EF0EBA">
          <w:rPr>
            <w:noProof/>
          </w:rPr>
          <w:t>5</w:t>
        </w:r>
        <w:r>
          <w:rPr>
            <w:noProof/>
          </w:rPr>
          <w:fldChar w:fldCharType="end"/>
        </w:r>
      </w:p>
    </w:sdtContent>
  </w:sdt>
  <w:p w:rsidR="00DF79F6" w:rsidRDefault="00DF79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10E60"/>
    <w:multiLevelType w:val="hybridMultilevel"/>
    <w:tmpl w:val="595EC4F6"/>
    <w:lvl w:ilvl="0" w:tplc="0E40F0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543D1"/>
    <w:rsid w:val="00025175"/>
    <w:rsid w:val="00041A37"/>
    <w:rsid w:val="00041E32"/>
    <w:rsid w:val="0006495D"/>
    <w:rsid w:val="000C2697"/>
    <w:rsid w:val="000E7D42"/>
    <w:rsid w:val="001875D2"/>
    <w:rsid w:val="00191249"/>
    <w:rsid w:val="001951C0"/>
    <w:rsid w:val="001C4D5C"/>
    <w:rsid w:val="001C6301"/>
    <w:rsid w:val="00207528"/>
    <w:rsid w:val="00210974"/>
    <w:rsid w:val="00266069"/>
    <w:rsid w:val="002B60ED"/>
    <w:rsid w:val="002E013B"/>
    <w:rsid w:val="0032086E"/>
    <w:rsid w:val="00335E09"/>
    <w:rsid w:val="00372E6E"/>
    <w:rsid w:val="003736B5"/>
    <w:rsid w:val="003D6479"/>
    <w:rsid w:val="003F6B23"/>
    <w:rsid w:val="00443B9B"/>
    <w:rsid w:val="00490BF5"/>
    <w:rsid w:val="004C2960"/>
    <w:rsid w:val="004E7403"/>
    <w:rsid w:val="005617F8"/>
    <w:rsid w:val="00565F25"/>
    <w:rsid w:val="00613685"/>
    <w:rsid w:val="006523AD"/>
    <w:rsid w:val="00691E7F"/>
    <w:rsid w:val="006D03D6"/>
    <w:rsid w:val="00704AE6"/>
    <w:rsid w:val="00770A3F"/>
    <w:rsid w:val="00787C5D"/>
    <w:rsid w:val="007A1052"/>
    <w:rsid w:val="007C0D2B"/>
    <w:rsid w:val="007C70B6"/>
    <w:rsid w:val="00822C91"/>
    <w:rsid w:val="0082335F"/>
    <w:rsid w:val="008454D3"/>
    <w:rsid w:val="00852862"/>
    <w:rsid w:val="0087561F"/>
    <w:rsid w:val="00882C61"/>
    <w:rsid w:val="008A0B16"/>
    <w:rsid w:val="008B073D"/>
    <w:rsid w:val="00936C91"/>
    <w:rsid w:val="00957610"/>
    <w:rsid w:val="00977CC8"/>
    <w:rsid w:val="00982A81"/>
    <w:rsid w:val="009B4566"/>
    <w:rsid w:val="00A13747"/>
    <w:rsid w:val="00A15FFD"/>
    <w:rsid w:val="00A35CB5"/>
    <w:rsid w:val="00AA6E62"/>
    <w:rsid w:val="00AE7594"/>
    <w:rsid w:val="00B2180F"/>
    <w:rsid w:val="00B44C2D"/>
    <w:rsid w:val="00B543D1"/>
    <w:rsid w:val="00B6067B"/>
    <w:rsid w:val="00B715B1"/>
    <w:rsid w:val="00B756D8"/>
    <w:rsid w:val="00B76626"/>
    <w:rsid w:val="00B7704D"/>
    <w:rsid w:val="00B97CA1"/>
    <w:rsid w:val="00BB7A13"/>
    <w:rsid w:val="00C158B6"/>
    <w:rsid w:val="00C94846"/>
    <w:rsid w:val="00CC164F"/>
    <w:rsid w:val="00CE22F1"/>
    <w:rsid w:val="00D07990"/>
    <w:rsid w:val="00D42091"/>
    <w:rsid w:val="00D53350"/>
    <w:rsid w:val="00DB6182"/>
    <w:rsid w:val="00DB7479"/>
    <w:rsid w:val="00DE2FFE"/>
    <w:rsid w:val="00DF79F6"/>
    <w:rsid w:val="00E37838"/>
    <w:rsid w:val="00E85ED8"/>
    <w:rsid w:val="00E85EF4"/>
    <w:rsid w:val="00EB00A6"/>
    <w:rsid w:val="00EC1F66"/>
    <w:rsid w:val="00EF0EBA"/>
    <w:rsid w:val="00F23137"/>
    <w:rsid w:val="00F52740"/>
    <w:rsid w:val="00F82625"/>
    <w:rsid w:val="00FA39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DB6182"/>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contextualSpacing/>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DB6182"/>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semiHidden/>
    <w:locked/>
    <w:rsid w:val="00B543D1"/>
    <w:rPr>
      <w:rFonts w:ascii="Calibri" w:eastAsia="Calibri" w:hAnsi="Calibri" w:cs="Calibri"/>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semiHidden/>
    <w:unhideWhenUsed/>
    <w:qFormat/>
    <w:rsid w:val="00B543D1"/>
    <w:rPr>
      <w:rFonts w:ascii="Calibri" w:eastAsia="Calibri" w:hAnsi="Calibri" w:cs="Calibri"/>
      <w:sz w:val="22"/>
      <w:szCs w:val="22"/>
    </w:rPr>
  </w:style>
  <w:style w:type="character" w:customStyle="1" w:styleId="FootnoteTextChar1">
    <w:name w:val="Footnote Text Char1"/>
    <w:basedOn w:val="DefaultParagraphFont"/>
    <w:uiPriority w:val="99"/>
    <w:semiHidden/>
    <w:rsid w:val="00B543D1"/>
    <w:rPr>
      <w:rFonts w:ascii="Times New Roman" w:eastAsia="Times New Roman" w:hAnsi="Times New Roman" w:cs="Times New Roman"/>
      <w:sz w:val="20"/>
      <w:szCs w:val="20"/>
    </w:rPr>
  </w:style>
  <w:style w:type="character" w:styleId="FootnoteReference">
    <w:name w:val="footnote reference"/>
    <w:aliases w:val="Footnote,Footnote text,SUPERS,Footnote dich,ftref,(NECG) Footnote Reference,16 Point,Superscript 6 Point,Footnote + Arial,10 pt,Black,fr,BVI fnr,footnote ref,BearingPoint,Footnote Text1,Ref,de nota al pie,Footnote Text11,R,f1"/>
    <w:uiPriority w:val="99"/>
    <w:semiHidden/>
    <w:unhideWhenUsed/>
    <w:qFormat/>
    <w:rsid w:val="00B543D1"/>
    <w:rPr>
      <w:vertAlign w:val="superscript"/>
    </w:rPr>
  </w:style>
  <w:style w:type="character" w:customStyle="1" w:styleId="normaltextrun">
    <w:name w:val="normaltextrun"/>
    <w:rsid w:val="00B543D1"/>
  </w:style>
  <w:style w:type="paragraph" w:styleId="BodyTextIndent">
    <w:name w:val="Body Text Indent"/>
    <w:basedOn w:val="Normal"/>
    <w:link w:val="BodyTextIndentChar"/>
    <w:semiHidden/>
    <w:unhideWhenUsed/>
    <w:rsid w:val="00B543D1"/>
    <w:pPr>
      <w:spacing w:line="360" w:lineRule="auto"/>
      <w:ind w:firstLine="720"/>
      <w:jc w:val="both"/>
    </w:pPr>
    <w:rPr>
      <w:rFonts w:ascii=".VnTime" w:hAnsi=".VnTime"/>
      <w:szCs w:val="20"/>
      <w:lang w:val="en-AU"/>
    </w:rPr>
  </w:style>
  <w:style w:type="character" w:customStyle="1" w:styleId="BodyTextIndentChar">
    <w:name w:val="Body Text Indent Char"/>
    <w:basedOn w:val="DefaultParagraphFont"/>
    <w:link w:val="BodyTextIndent"/>
    <w:semiHidden/>
    <w:rsid w:val="00B543D1"/>
    <w:rPr>
      <w:rFonts w:ascii=".VnTime" w:eastAsia="Times New Roman" w:hAnsi=".VnTime" w:cs="Times New Roman"/>
      <w:sz w:val="24"/>
      <w:szCs w:val="20"/>
      <w:lang w:val="en-AU"/>
    </w:rPr>
  </w:style>
  <w:style w:type="paragraph" w:styleId="ListParagraph">
    <w:name w:val="List Paragraph"/>
    <w:basedOn w:val="Normal"/>
    <w:uiPriority w:val="34"/>
    <w:qFormat/>
    <w:rsid w:val="00B543D1"/>
    <w:pPr>
      <w:spacing w:after="200" w:line="276" w:lineRule="auto"/>
      <w:ind w:left="720"/>
      <w:contextualSpacing/>
    </w:pPr>
    <w:rPr>
      <w:rFonts w:eastAsiaTheme="minorHAnsi" w:cstheme="minorBidi"/>
      <w:sz w:val="28"/>
      <w:szCs w:val="22"/>
    </w:rPr>
  </w:style>
  <w:style w:type="paragraph" w:styleId="Header">
    <w:name w:val="header"/>
    <w:basedOn w:val="Normal"/>
    <w:link w:val="HeaderChar"/>
    <w:uiPriority w:val="99"/>
    <w:unhideWhenUsed/>
    <w:rsid w:val="00AE7594"/>
    <w:pPr>
      <w:tabs>
        <w:tab w:val="center" w:pos="4680"/>
        <w:tab w:val="right" w:pos="9360"/>
      </w:tabs>
    </w:pPr>
  </w:style>
  <w:style w:type="character" w:customStyle="1" w:styleId="HeaderChar">
    <w:name w:val="Header Char"/>
    <w:basedOn w:val="DefaultParagraphFont"/>
    <w:link w:val="Header"/>
    <w:uiPriority w:val="99"/>
    <w:rsid w:val="00AE75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7594"/>
    <w:pPr>
      <w:tabs>
        <w:tab w:val="center" w:pos="4680"/>
        <w:tab w:val="right" w:pos="9360"/>
      </w:tabs>
    </w:pPr>
  </w:style>
  <w:style w:type="character" w:customStyle="1" w:styleId="FooterChar">
    <w:name w:val="Footer Char"/>
    <w:basedOn w:val="DefaultParagraphFont"/>
    <w:link w:val="Footer"/>
    <w:uiPriority w:val="99"/>
    <w:rsid w:val="00AE7594"/>
    <w:rPr>
      <w:rFonts w:ascii="Times New Roman" w:eastAsia="Times New Roman" w:hAnsi="Times New Roman" w:cs="Times New Roman"/>
      <w:sz w:val="24"/>
      <w:szCs w:val="24"/>
    </w:rPr>
  </w:style>
  <w:style w:type="character" w:styleId="Emphasis">
    <w:name w:val="Emphasis"/>
    <w:uiPriority w:val="20"/>
    <w:qFormat/>
    <w:rsid w:val="00D42091"/>
    <w:rPr>
      <w:i/>
      <w:iCs/>
    </w:rPr>
  </w:style>
  <w:style w:type="paragraph" w:styleId="NormalWeb">
    <w:name w:val="Normal (Web)"/>
    <w:basedOn w:val="Normal"/>
    <w:uiPriority w:val="99"/>
    <w:semiHidden/>
    <w:unhideWhenUsed/>
    <w:rsid w:val="00DF79F6"/>
    <w:pPr>
      <w:spacing w:before="100" w:beforeAutospacing="1" w:after="100" w:afterAutospacing="1"/>
    </w:pPr>
  </w:style>
  <w:style w:type="character" w:customStyle="1" w:styleId="dieuCharChar">
    <w:name w:val="dieu Char Char"/>
    <w:rsid w:val="00A15FFD"/>
    <w:rPr>
      <w:b/>
      <w:color w:val="0000FF"/>
      <w:sz w:val="24"/>
      <w:lang w:val="en-US" w:eastAsia="en-US"/>
    </w:rPr>
  </w:style>
  <w:style w:type="paragraph" w:styleId="BalloonText">
    <w:name w:val="Balloon Text"/>
    <w:basedOn w:val="Normal"/>
    <w:link w:val="BalloonTextChar"/>
    <w:uiPriority w:val="99"/>
    <w:semiHidden/>
    <w:unhideWhenUsed/>
    <w:rsid w:val="00EC1F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F66"/>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47881967">
      <w:bodyDiv w:val="1"/>
      <w:marLeft w:val="0"/>
      <w:marRight w:val="0"/>
      <w:marTop w:val="0"/>
      <w:marBottom w:val="0"/>
      <w:divBdr>
        <w:top w:val="none" w:sz="0" w:space="0" w:color="auto"/>
        <w:left w:val="none" w:sz="0" w:space="0" w:color="auto"/>
        <w:bottom w:val="none" w:sz="0" w:space="0" w:color="auto"/>
        <w:right w:val="none" w:sz="0" w:space="0" w:color="auto"/>
      </w:divBdr>
    </w:div>
    <w:div w:id="1095056346">
      <w:bodyDiv w:val="1"/>
      <w:marLeft w:val="0"/>
      <w:marRight w:val="0"/>
      <w:marTop w:val="0"/>
      <w:marBottom w:val="0"/>
      <w:divBdr>
        <w:top w:val="none" w:sz="0" w:space="0" w:color="auto"/>
        <w:left w:val="none" w:sz="0" w:space="0" w:color="auto"/>
        <w:bottom w:val="none" w:sz="0" w:space="0" w:color="auto"/>
        <w:right w:val="none" w:sz="0" w:space="0" w:color="auto"/>
      </w:divBdr>
    </w:div>
    <w:div w:id="1614433568">
      <w:bodyDiv w:val="1"/>
      <w:marLeft w:val="0"/>
      <w:marRight w:val="0"/>
      <w:marTop w:val="0"/>
      <w:marBottom w:val="0"/>
      <w:divBdr>
        <w:top w:val="none" w:sz="0" w:space="0" w:color="auto"/>
        <w:left w:val="none" w:sz="0" w:space="0" w:color="auto"/>
        <w:bottom w:val="none" w:sz="0" w:space="0" w:color="auto"/>
        <w:right w:val="none" w:sz="0" w:space="0" w:color="auto"/>
      </w:divBdr>
    </w:div>
    <w:div w:id="1939362242">
      <w:bodyDiv w:val="1"/>
      <w:marLeft w:val="0"/>
      <w:marRight w:val="0"/>
      <w:marTop w:val="0"/>
      <w:marBottom w:val="0"/>
      <w:divBdr>
        <w:top w:val="none" w:sz="0" w:space="0" w:color="auto"/>
        <w:left w:val="none" w:sz="0" w:space="0" w:color="auto"/>
        <w:bottom w:val="none" w:sz="0" w:space="0" w:color="auto"/>
        <w:right w:val="none" w:sz="0" w:space="0" w:color="auto"/>
      </w:divBdr>
      <w:divsChild>
        <w:div w:id="433521009">
          <w:marLeft w:val="0"/>
          <w:marRight w:val="0"/>
          <w:marTop w:val="0"/>
          <w:marBottom w:val="0"/>
          <w:divBdr>
            <w:top w:val="none" w:sz="0" w:space="0" w:color="auto"/>
            <w:left w:val="none" w:sz="0" w:space="0" w:color="auto"/>
            <w:bottom w:val="none" w:sz="0" w:space="0" w:color="auto"/>
            <w:right w:val="none" w:sz="0" w:space="0" w:color="auto"/>
          </w:divBdr>
        </w:div>
        <w:div w:id="1713578696">
          <w:marLeft w:val="0"/>
          <w:marRight w:val="0"/>
          <w:marTop w:val="0"/>
          <w:marBottom w:val="0"/>
          <w:divBdr>
            <w:top w:val="none" w:sz="0" w:space="0" w:color="auto"/>
            <w:left w:val="none" w:sz="0" w:space="0" w:color="auto"/>
            <w:bottom w:val="none" w:sz="0" w:space="0" w:color="auto"/>
            <w:right w:val="none" w:sz="0" w:space="0" w:color="auto"/>
          </w:divBdr>
        </w:div>
      </w:divsChild>
    </w:div>
    <w:div w:id="20539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4340D-7785-4DED-8F80-DE6D90C6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Dinh Gia Khanh</cp:lastModifiedBy>
  <cp:revision>6</cp:revision>
  <cp:lastPrinted>2023-07-05T03:13:00Z</cp:lastPrinted>
  <dcterms:created xsi:type="dcterms:W3CDTF">2023-07-12T06:32:00Z</dcterms:created>
  <dcterms:modified xsi:type="dcterms:W3CDTF">2023-07-12T06:35:00Z</dcterms:modified>
</cp:coreProperties>
</file>